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EB" w:rsidRDefault="00484569" w:rsidP="00711BEB">
      <w:pPr>
        <w:jc w:val="center"/>
        <w:rPr>
          <w:rFonts w:ascii="Arial" w:hAnsi="Arial" w:cs="Arial"/>
          <w:sz w:val="40"/>
          <w:szCs w:val="40"/>
        </w:rPr>
      </w:pPr>
      <w:r>
        <w:rPr>
          <w:rFonts w:ascii="Arial" w:hAnsi="Arial" w:cs="Arial"/>
          <w:sz w:val="40"/>
          <w:szCs w:val="40"/>
        </w:rPr>
        <w:tab/>
      </w:r>
      <w:r>
        <w:rPr>
          <w:rFonts w:ascii="Arial" w:hAnsi="Arial" w:cs="Arial"/>
          <w:sz w:val="40"/>
          <w:szCs w:val="40"/>
        </w:rPr>
        <w:tab/>
      </w:r>
      <w:r>
        <w:rPr>
          <w:rFonts w:ascii="Arial" w:hAnsi="Arial" w:cs="Arial"/>
          <w:sz w:val="40"/>
          <w:szCs w:val="40"/>
        </w:rPr>
        <w:tab/>
      </w:r>
    </w:p>
    <w:p w:rsidR="00962CA3" w:rsidRDefault="00711BEB" w:rsidP="00711BEB">
      <w:pPr>
        <w:jc w:val="center"/>
        <w:rPr>
          <w:rFonts w:ascii="Arial" w:hAnsi="Arial" w:cs="Arial"/>
          <w:b/>
          <w:u w:val="single"/>
        </w:rPr>
      </w:pPr>
      <w:r>
        <w:rPr>
          <w:rFonts w:cs="Arial"/>
          <w:b/>
          <w:noProof/>
          <w:sz w:val="36"/>
          <w:szCs w:val="36"/>
          <w:lang w:eastAsia="en-GB"/>
        </w:rPr>
        <w:drawing>
          <wp:anchor distT="0" distB="0" distL="114300" distR="114300" simplePos="0" relativeHeight="251659264" behindDoc="0" locked="0" layoutInCell="1" allowOverlap="1" wp14:anchorId="569C6F82" wp14:editId="4A6EBEB2">
            <wp:simplePos x="0" y="0"/>
            <wp:positionH relativeFrom="margin">
              <wp:posOffset>1446530</wp:posOffset>
            </wp:positionH>
            <wp:positionV relativeFrom="margin">
              <wp:posOffset>-152400</wp:posOffset>
            </wp:positionV>
            <wp:extent cx="3438525" cy="523875"/>
            <wp:effectExtent l="0" t="0" r="9525" b="9525"/>
            <wp:wrapSquare wrapText="bothSides"/>
            <wp:docPr id="1" name="Picture 1" descr="tamesi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eside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1CFC" w:rsidRDefault="00711BEB" w:rsidP="00962CA3">
      <w:pPr>
        <w:rPr>
          <w:rFonts w:ascii="Arial" w:hAnsi="Arial" w:cs="Arial"/>
          <w:b/>
          <w:u w:val="single"/>
        </w:rPr>
      </w:pPr>
      <w:r>
        <w:rPr>
          <w:rFonts w:ascii="Arial" w:hAnsi="Arial" w:cs="Arial"/>
          <w:b/>
          <w:u w:val="single"/>
        </w:rPr>
        <w:t xml:space="preserve">Transitional Relief </w:t>
      </w:r>
      <w:r w:rsidR="00692ABC">
        <w:rPr>
          <w:rFonts w:ascii="Arial" w:hAnsi="Arial" w:cs="Arial"/>
          <w:b/>
          <w:u w:val="single"/>
        </w:rPr>
        <w:t>Explained</w:t>
      </w:r>
    </w:p>
    <w:p w:rsidR="00692ABC" w:rsidRDefault="00692ABC" w:rsidP="00962CA3">
      <w:pPr>
        <w:rPr>
          <w:rFonts w:ascii="Arial" w:hAnsi="Arial" w:cs="Arial"/>
          <w:b/>
          <w:u w:val="single"/>
        </w:rPr>
      </w:pPr>
    </w:p>
    <w:p w:rsidR="007C1CFC" w:rsidRDefault="007C1CFC" w:rsidP="007C1CFC">
      <w:pPr>
        <w:autoSpaceDE w:val="0"/>
        <w:autoSpaceDN w:val="0"/>
        <w:jc w:val="both"/>
        <w:rPr>
          <w:rFonts w:ascii="Arial" w:hAnsi="Arial" w:cs="Arial"/>
        </w:rPr>
      </w:pPr>
      <w:r>
        <w:rPr>
          <w:rFonts w:ascii="Arial" w:hAnsi="Arial" w:cs="Arial"/>
        </w:rPr>
        <w:t>All rateable values are reassessed at a general revaluation.  The 2017 revaluation takes effect from 1</w:t>
      </w:r>
      <w:r w:rsidRPr="00C1743B">
        <w:rPr>
          <w:rFonts w:ascii="Arial" w:hAnsi="Arial" w:cs="Arial"/>
          <w:vertAlign w:val="superscript"/>
        </w:rPr>
        <w:t>st</w:t>
      </w:r>
      <w:r>
        <w:rPr>
          <w:rFonts w:ascii="Arial" w:hAnsi="Arial" w:cs="Arial"/>
        </w:rPr>
        <w:t xml:space="preserve"> April 2017.  Revaluations make sure each ratepayer pays their fair contribution and no more, by ensuring that the share of the national rates bill paid by any one ratepayer reflects changes over time in the value of their property relative to others.  Revaluation does not raise extra money for Government.</w:t>
      </w:r>
    </w:p>
    <w:p w:rsidR="007C1CFC" w:rsidRPr="002B496D" w:rsidRDefault="007C1CFC" w:rsidP="007C1CFC">
      <w:pPr>
        <w:autoSpaceDE w:val="0"/>
        <w:autoSpaceDN w:val="0"/>
        <w:jc w:val="both"/>
        <w:rPr>
          <w:rFonts w:ascii="Arial" w:hAnsi="Arial" w:cs="Arial"/>
        </w:rPr>
      </w:pPr>
      <w:r w:rsidRPr="002B496D">
        <w:rPr>
          <w:rFonts w:ascii="Arial" w:hAnsi="Arial" w:cs="Arial"/>
        </w:rPr>
        <w:t>Whilst the 2017 revaluation will not increase the amount of rates collected nationally, within this overall picture, over 7 out of 10 ratepayers will receive a reduction or no change in their bill and some ratepayers will see increases.</w:t>
      </w:r>
    </w:p>
    <w:p w:rsidR="007C1CFC" w:rsidRPr="002B496D" w:rsidRDefault="007C1CFC" w:rsidP="007C1CFC">
      <w:pPr>
        <w:autoSpaceDE w:val="0"/>
        <w:autoSpaceDN w:val="0"/>
        <w:jc w:val="both"/>
        <w:rPr>
          <w:rFonts w:ascii="Arial" w:hAnsi="Arial" w:cs="Arial"/>
        </w:rPr>
      </w:pPr>
      <w:r w:rsidRPr="002B496D">
        <w:rPr>
          <w:rFonts w:ascii="Arial" w:hAnsi="Arial" w:cs="Arial"/>
        </w:rPr>
        <w:t>For those that would otherwise see significant increases in their rates liability, the Government has put in place a £3.6 billion transitional relief scheme to limit and phase in changes in rate bills as a result of the 2017 revaluation. To help pay for the limits on increases in bills, there also have to be limits on reductions in bills. Under the transitional scheme, limits continue to apply to yearly increases and decreases until the full amount is due (rateable value times the appropriate multiplier). The scheme applies only to the bill based on a property at the time of the revaluation. If there are any changes to the property after 1st April 2017, transitional arrangements will not normally apply to the part of a bill that relates to any increase in rateable value due to those changes. Changes to your bill as a result of other reasons (such as changes to the amount of small business rate relief) are not covered by the transitional arrangements.</w:t>
      </w:r>
    </w:p>
    <w:p w:rsidR="00692ABC" w:rsidRDefault="007C1CFC" w:rsidP="00692ABC">
      <w:pPr>
        <w:autoSpaceDE w:val="0"/>
        <w:autoSpaceDN w:val="0"/>
        <w:jc w:val="both"/>
        <w:rPr>
          <w:rFonts w:ascii="Arial" w:hAnsi="Arial" w:cs="Arial"/>
        </w:rPr>
      </w:pPr>
      <w:r w:rsidRPr="002B496D">
        <w:rPr>
          <w:rFonts w:ascii="Arial" w:hAnsi="Arial" w:cs="Arial"/>
        </w:rPr>
        <w:t xml:space="preserve">The transitional arrangements are applied automatically and are shown on the </w:t>
      </w:r>
      <w:r>
        <w:rPr>
          <w:rFonts w:ascii="Arial" w:hAnsi="Arial" w:cs="Arial"/>
        </w:rPr>
        <w:t>back</w:t>
      </w:r>
      <w:r w:rsidRPr="002B496D">
        <w:rPr>
          <w:rFonts w:ascii="Arial" w:hAnsi="Arial" w:cs="Arial"/>
        </w:rPr>
        <w:t xml:space="preserve"> of</w:t>
      </w:r>
      <w:r w:rsidR="00692ABC">
        <w:rPr>
          <w:rFonts w:ascii="Arial" w:hAnsi="Arial" w:cs="Arial"/>
        </w:rPr>
        <w:t xml:space="preserve"> your </w:t>
      </w:r>
      <w:r w:rsidRPr="002B496D">
        <w:rPr>
          <w:rFonts w:ascii="Arial" w:hAnsi="Arial" w:cs="Arial"/>
        </w:rPr>
        <w:t>bill</w:t>
      </w:r>
      <w:r w:rsidR="00692ABC">
        <w:rPr>
          <w:rFonts w:ascii="Arial" w:hAnsi="Arial" w:cs="Arial"/>
        </w:rPr>
        <w:t xml:space="preserve">.  </w:t>
      </w:r>
      <w:r w:rsidR="00692ABC" w:rsidRPr="002B496D">
        <w:rPr>
          <w:rFonts w:ascii="Arial" w:hAnsi="Arial" w:cs="Arial"/>
        </w:rPr>
        <w:t xml:space="preserve">Further information about </w:t>
      </w:r>
      <w:r w:rsidR="00692ABC">
        <w:rPr>
          <w:rFonts w:ascii="Arial" w:hAnsi="Arial" w:cs="Arial"/>
        </w:rPr>
        <w:t>your Business Rates bill and o</w:t>
      </w:r>
      <w:r w:rsidR="00692ABC" w:rsidRPr="002B496D">
        <w:rPr>
          <w:rFonts w:ascii="Arial" w:hAnsi="Arial" w:cs="Arial"/>
        </w:rPr>
        <w:t>ther reliefs may be obtained from</w:t>
      </w:r>
      <w:r w:rsidR="00692ABC">
        <w:rPr>
          <w:rFonts w:ascii="Arial" w:hAnsi="Arial" w:cs="Arial"/>
        </w:rPr>
        <w:t xml:space="preserve"> </w:t>
      </w:r>
      <w:hyperlink r:id="rId7" w:history="1">
        <w:r w:rsidR="00692ABC" w:rsidRPr="00A8689A">
          <w:rPr>
            <w:rStyle w:val="Hyperlink"/>
            <w:rFonts w:ascii="Arial" w:hAnsi="Arial" w:cs="Arial"/>
          </w:rPr>
          <w:t>http://www.tameside.gov.uk/business/rates</w:t>
        </w:r>
      </w:hyperlink>
      <w:r w:rsidR="00692ABC">
        <w:rPr>
          <w:rFonts w:ascii="Arial" w:hAnsi="Arial" w:cs="Arial"/>
        </w:rPr>
        <w:t>.</w:t>
      </w:r>
    </w:p>
    <w:p w:rsidR="007C1CFC" w:rsidRPr="002B496D" w:rsidRDefault="007C1CFC" w:rsidP="007C1CFC">
      <w:pPr>
        <w:autoSpaceDE w:val="0"/>
        <w:autoSpaceDN w:val="0"/>
        <w:jc w:val="both"/>
        <w:rPr>
          <w:rFonts w:ascii="Arial" w:hAnsi="Arial" w:cs="Arial"/>
        </w:rPr>
      </w:pPr>
      <w:r w:rsidRPr="002B496D">
        <w:rPr>
          <w:rFonts w:ascii="Arial" w:hAnsi="Arial" w:cs="Arial"/>
        </w:rPr>
        <w:t xml:space="preserve">More information on the 2017 revaluation can be found at </w:t>
      </w:r>
      <w:hyperlink r:id="rId8" w:history="1">
        <w:r w:rsidRPr="00572D14">
          <w:rPr>
            <w:rStyle w:val="Hyperlink"/>
            <w:rFonts w:ascii="Arial" w:hAnsi="Arial" w:cs="Arial"/>
          </w:rPr>
          <w:t>www.gov.uk/introduction-to-business-rates/revaluation</w:t>
        </w:r>
      </w:hyperlink>
    </w:p>
    <w:p w:rsidR="00692ABC" w:rsidRPr="00692ABC" w:rsidRDefault="00692ABC" w:rsidP="00692ABC">
      <w:pPr>
        <w:autoSpaceDE w:val="0"/>
        <w:autoSpaceDN w:val="0"/>
        <w:jc w:val="both"/>
        <w:rPr>
          <w:rFonts w:ascii="Arial" w:hAnsi="Arial" w:cs="Arial"/>
        </w:rPr>
      </w:pPr>
      <w:r w:rsidRPr="00692ABC">
        <w:rPr>
          <w:rStyle w:val="Hyperlink"/>
          <w:rFonts w:ascii="Arial" w:hAnsi="Arial" w:cs="Arial"/>
          <w:color w:val="auto"/>
          <w:u w:val="none"/>
        </w:rPr>
        <w:t>Please find below information to assist you in understanding your transitional relief/premium</w:t>
      </w:r>
      <w:r>
        <w:rPr>
          <w:rStyle w:val="Hyperlink"/>
          <w:rFonts w:ascii="Arial" w:hAnsi="Arial" w:cs="Arial"/>
          <w:color w:val="auto"/>
          <w:u w:val="none"/>
        </w:rPr>
        <w:t>:</w:t>
      </w:r>
    </w:p>
    <w:p w:rsidR="007C1CFC" w:rsidRDefault="007C1CFC" w:rsidP="007C1CFC">
      <w:pPr>
        <w:rPr>
          <w:rFonts w:ascii="Arial" w:hAnsi="Arial" w:cs="Arial"/>
          <w:b/>
          <w:u w:val="single"/>
        </w:rPr>
      </w:pPr>
    </w:p>
    <w:p w:rsidR="007C1CFC" w:rsidRDefault="007C1CFC" w:rsidP="007C1CFC">
      <w:pPr>
        <w:rPr>
          <w:rFonts w:ascii="Arial" w:hAnsi="Arial" w:cs="Arial"/>
          <w:b/>
          <w:u w:val="single"/>
        </w:rPr>
      </w:pPr>
    </w:p>
    <w:p w:rsidR="007C1CFC" w:rsidRPr="00CC5C71" w:rsidRDefault="007C1CFC" w:rsidP="007C1CFC">
      <w:pPr>
        <w:rPr>
          <w:rFonts w:ascii="Arial" w:hAnsi="Arial" w:cs="Arial"/>
          <w:b/>
          <w:u w:val="single"/>
        </w:rPr>
      </w:pPr>
      <w:r w:rsidRPr="00CC5C71">
        <w:rPr>
          <w:rFonts w:ascii="Arial" w:hAnsi="Arial" w:cs="Arial"/>
          <w:b/>
          <w:u w:val="single"/>
        </w:rPr>
        <w:lastRenderedPageBreak/>
        <w:t>Calculation formulas:</w:t>
      </w:r>
    </w:p>
    <w:p w:rsidR="007C1CFC" w:rsidRPr="007C1CFC" w:rsidRDefault="007C1CFC" w:rsidP="007C1CFC">
      <w:pPr>
        <w:spacing w:line="240" w:lineRule="auto"/>
        <w:contextualSpacing/>
        <w:rPr>
          <w:rFonts w:ascii="Arial" w:hAnsi="Arial" w:cs="Arial"/>
        </w:rPr>
      </w:pPr>
      <w:r w:rsidRPr="007C1CFC">
        <w:rPr>
          <w:rFonts w:ascii="Arial" w:hAnsi="Arial" w:cs="Arial"/>
        </w:rPr>
        <w:t>Gross charge</w:t>
      </w:r>
      <w:r w:rsidRPr="007C1CFC">
        <w:rPr>
          <w:rFonts w:ascii="Arial" w:hAnsi="Arial" w:cs="Arial"/>
        </w:rPr>
        <w:tab/>
      </w:r>
      <w:r w:rsidRPr="007C1CFC">
        <w:rPr>
          <w:rFonts w:ascii="Arial" w:hAnsi="Arial" w:cs="Arial"/>
        </w:rPr>
        <w:tab/>
      </w:r>
      <w:r w:rsidRPr="007C1CFC">
        <w:rPr>
          <w:rFonts w:ascii="Arial" w:hAnsi="Arial" w:cs="Arial"/>
        </w:rPr>
        <w:tab/>
      </w:r>
      <w:r w:rsidRPr="007C1CFC">
        <w:rPr>
          <w:rFonts w:ascii="Arial" w:hAnsi="Arial" w:cs="Arial"/>
        </w:rPr>
        <w:tab/>
        <w:t>=</w:t>
      </w:r>
      <w:r w:rsidRPr="007C1CFC">
        <w:rPr>
          <w:rFonts w:ascii="Arial" w:hAnsi="Arial" w:cs="Arial"/>
        </w:rPr>
        <w:tab/>
        <w:t xml:space="preserve">Rateable value as at 01/04/2017 x </w:t>
      </w:r>
      <w:r>
        <w:rPr>
          <w:rFonts w:ascii="Arial" w:hAnsi="Arial" w:cs="Arial"/>
        </w:rPr>
        <w:t>the appropriate multiplier (see below)</w:t>
      </w:r>
      <w:r w:rsidRPr="007C1CFC">
        <w:rPr>
          <w:rFonts w:ascii="Arial" w:hAnsi="Arial" w:cs="Arial"/>
        </w:rPr>
        <w:t xml:space="preserve"> </w:t>
      </w:r>
    </w:p>
    <w:p w:rsidR="007C1CFC" w:rsidRPr="007C1CFC" w:rsidRDefault="007C1CFC" w:rsidP="007C1CFC">
      <w:pPr>
        <w:spacing w:line="240" w:lineRule="auto"/>
        <w:contextualSpacing/>
        <w:rPr>
          <w:rFonts w:ascii="Arial" w:hAnsi="Arial" w:cs="Arial"/>
        </w:rPr>
      </w:pPr>
    </w:p>
    <w:p w:rsidR="007C1CFC" w:rsidRPr="007C1CFC" w:rsidRDefault="007C1CFC" w:rsidP="007C1CFC">
      <w:pPr>
        <w:spacing w:line="240" w:lineRule="auto"/>
        <w:contextualSpacing/>
        <w:rPr>
          <w:rFonts w:ascii="Arial" w:hAnsi="Arial" w:cs="Arial"/>
        </w:rPr>
      </w:pPr>
      <w:r w:rsidRPr="007C1CFC">
        <w:rPr>
          <w:rFonts w:ascii="Arial" w:hAnsi="Arial" w:cs="Arial"/>
        </w:rPr>
        <w:t>Notional chargeable amount</w:t>
      </w:r>
      <w:r w:rsidRPr="007C1CFC">
        <w:rPr>
          <w:rFonts w:ascii="Arial" w:hAnsi="Arial" w:cs="Arial"/>
        </w:rPr>
        <w:tab/>
      </w:r>
      <w:r w:rsidRPr="007C1CFC">
        <w:rPr>
          <w:rFonts w:ascii="Arial" w:hAnsi="Arial" w:cs="Arial"/>
        </w:rPr>
        <w:tab/>
        <w:t>=</w:t>
      </w:r>
      <w:r w:rsidRPr="007C1CFC">
        <w:rPr>
          <w:rFonts w:ascii="Arial" w:hAnsi="Arial" w:cs="Arial"/>
        </w:rPr>
        <w:tab/>
        <w:t xml:space="preserve">Rateable value as at 01/04/2017 x </w:t>
      </w:r>
    </w:p>
    <w:p w:rsidR="007C1CFC" w:rsidRPr="007C1CFC" w:rsidRDefault="007C1CFC" w:rsidP="007C1CFC">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2017/18 S</w:t>
      </w:r>
      <w:r w:rsidRPr="007C1CFC">
        <w:rPr>
          <w:rFonts w:ascii="Arial" w:hAnsi="Arial" w:cs="Arial"/>
        </w:rPr>
        <w:t>mall business rating multiplier</w:t>
      </w:r>
    </w:p>
    <w:p w:rsidR="007C1CFC" w:rsidRPr="007C1CFC" w:rsidRDefault="007C1CFC" w:rsidP="007C1CFC">
      <w:pPr>
        <w:spacing w:line="240" w:lineRule="auto"/>
        <w:contextualSpacing/>
        <w:rPr>
          <w:rFonts w:ascii="Arial" w:hAnsi="Arial" w:cs="Arial"/>
        </w:rPr>
      </w:pPr>
    </w:p>
    <w:p w:rsidR="007C1CFC" w:rsidRPr="007C1CFC" w:rsidRDefault="007C1CFC" w:rsidP="007C1CFC">
      <w:pPr>
        <w:spacing w:line="240" w:lineRule="auto"/>
        <w:contextualSpacing/>
        <w:rPr>
          <w:rFonts w:ascii="Arial" w:hAnsi="Arial" w:cs="Arial"/>
        </w:rPr>
      </w:pPr>
      <w:r w:rsidRPr="007C1CFC">
        <w:rPr>
          <w:rFonts w:ascii="Arial" w:hAnsi="Arial" w:cs="Arial"/>
        </w:rPr>
        <w:t>Base liability</w:t>
      </w:r>
      <w:r w:rsidRPr="007C1CFC">
        <w:rPr>
          <w:rFonts w:ascii="Arial" w:hAnsi="Arial" w:cs="Arial"/>
        </w:rPr>
        <w:tab/>
      </w:r>
      <w:r w:rsidRPr="007C1CFC">
        <w:rPr>
          <w:rFonts w:ascii="Arial" w:hAnsi="Arial" w:cs="Arial"/>
        </w:rPr>
        <w:tab/>
      </w:r>
      <w:r w:rsidRPr="007C1CFC">
        <w:rPr>
          <w:rFonts w:ascii="Arial" w:hAnsi="Arial" w:cs="Arial"/>
        </w:rPr>
        <w:tab/>
      </w:r>
      <w:r w:rsidRPr="007C1CFC">
        <w:rPr>
          <w:rFonts w:ascii="Arial" w:hAnsi="Arial" w:cs="Arial"/>
        </w:rPr>
        <w:tab/>
        <w:t>=</w:t>
      </w:r>
      <w:r w:rsidRPr="007C1CFC">
        <w:rPr>
          <w:rFonts w:ascii="Arial" w:hAnsi="Arial" w:cs="Arial"/>
        </w:rPr>
        <w:tab/>
        <w:t>Rateable value as at 31/03/2017 x</w:t>
      </w:r>
    </w:p>
    <w:p w:rsidR="007C1CFC" w:rsidRPr="007C1CFC" w:rsidRDefault="007C1CFC" w:rsidP="007C1CFC">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2016/17 S</w:t>
      </w:r>
      <w:r w:rsidRPr="007C1CFC">
        <w:rPr>
          <w:rFonts w:ascii="Arial" w:hAnsi="Arial" w:cs="Arial"/>
        </w:rPr>
        <w:t>mall business rating multiplier</w:t>
      </w:r>
    </w:p>
    <w:p w:rsidR="007C1CFC" w:rsidRPr="007C1CFC" w:rsidRDefault="007C1CFC" w:rsidP="007C1CFC">
      <w:pPr>
        <w:spacing w:line="240" w:lineRule="auto"/>
        <w:contextualSpacing/>
        <w:rPr>
          <w:rFonts w:ascii="Arial" w:hAnsi="Arial" w:cs="Arial"/>
        </w:rPr>
      </w:pPr>
    </w:p>
    <w:p w:rsidR="007C1CFC" w:rsidRPr="007C1CFC" w:rsidRDefault="007C1CFC" w:rsidP="007C1CFC">
      <w:pPr>
        <w:spacing w:line="240" w:lineRule="auto"/>
        <w:contextualSpacing/>
        <w:rPr>
          <w:rFonts w:ascii="Arial" w:hAnsi="Arial" w:cs="Arial"/>
        </w:rPr>
      </w:pPr>
      <w:r w:rsidRPr="007C1CFC">
        <w:rPr>
          <w:rFonts w:ascii="Arial" w:hAnsi="Arial" w:cs="Arial"/>
        </w:rPr>
        <w:t>Transitional limit</w:t>
      </w:r>
      <w:r w:rsidRPr="007C1CFC">
        <w:rPr>
          <w:rFonts w:ascii="Arial" w:hAnsi="Arial" w:cs="Arial"/>
        </w:rPr>
        <w:tab/>
      </w:r>
      <w:r w:rsidRPr="007C1CFC">
        <w:rPr>
          <w:rFonts w:ascii="Arial" w:hAnsi="Arial" w:cs="Arial"/>
        </w:rPr>
        <w:tab/>
      </w:r>
      <w:r w:rsidRPr="007C1CFC">
        <w:rPr>
          <w:rFonts w:ascii="Arial" w:hAnsi="Arial" w:cs="Arial"/>
        </w:rPr>
        <w:tab/>
        <w:t>=</w:t>
      </w:r>
      <w:r w:rsidRPr="007C1CFC">
        <w:rPr>
          <w:rFonts w:ascii="Arial" w:hAnsi="Arial" w:cs="Arial"/>
        </w:rPr>
        <w:tab/>
        <w:t xml:space="preserve">Base liability x </w:t>
      </w:r>
    </w:p>
    <w:p w:rsidR="007C1CFC" w:rsidRPr="007C1CFC" w:rsidRDefault="007C1CFC" w:rsidP="007C1CFC">
      <w:pPr>
        <w:spacing w:line="240" w:lineRule="auto"/>
        <w:contextualSpacing/>
        <w:rPr>
          <w:rFonts w:ascii="Arial" w:hAnsi="Arial" w:cs="Arial"/>
        </w:rPr>
      </w:pPr>
      <w:r w:rsidRPr="007C1CFC">
        <w:rPr>
          <w:rFonts w:ascii="Arial" w:hAnsi="Arial" w:cs="Arial"/>
        </w:rPr>
        <w:tab/>
      </w:r>
      <w:r w:rsidRPr="007C1CFC">
        <w:rPr>
          <w:rFonts w:ascii="Arial" w:hAnsi="Arial" w:cs="Arial"/>
        </w:rPr>
        <w:tab/>
      </w:r>
      <w:r w:rsidRPr="007C1CFC">
        <w:rPr>
          <w:rFonts w:ascii="Arial" w:hAnsi="Arial" w:cs="Arial"/>
        </w:rPr>
        <w:tab/>
      </w:r>
      <w:r w:rsidRPr="007C1CFC">
        <w:rPr>
          <w:rFonts w:ascii="Arial" w:hAnsi="Arial" w:cs="Arial"/>
        </w:rPr>
        <w:tab/>
      </w:r>
      <w:r w:rsidRPr="007C1CFC">
        <w:rPr>
          <w:rFonts w:ascii="Arial" w:hAnsi="Arial" w:cs="Arial"/>
        </w:rPr>
        <w:tab/>
      </w:r>
      <w:r w:rsidRPr="007C1CFC">
        <w:rPr>
          <w:rFonts w:ascii="Arial" w:hAnsi="Arial" w:cs="Arial"/>
        </w:rPr>
        <w:tab/>
        <w:t>Appropriate fraction (see notes)</w:t>
      </w:r>
    </w:p>
    <w:p w:rsidR="007C1CFC" w:rsidRPr="007C1CFC" w:rsidRDefault="007C1CFC" w:rsidP="007C1CFC">
      <w:pPr>
        <w:spacing w:line="240" w:lineRule="auto"/>
        <w:contextualSpacing/>
        <w:rPr>
          <w:rFonts w:ascii="Arial" w:hAnsi="Arial" w:cs="Arial"/>
        </w:rPr>
      </w:pPr>
    </w:p>
    <w:p w:rsidR="007C1CFC" w:rsidRPr="007C1CFC" w:rsidRDefault="007C1CFC" w:rsidP="007C1CFC">
      <w:pPr>
        <w:spacing w:line="240" w:lineRule="auto"/>
        <w:contextualSpacing/>
        <w:rPr>
          <w:rFonts w:ascii="Arial" w:hAnsi="Arial" w:cs="Arial"/>
        </w:rPr>
      </w:pPr>
      <w:r w:rsidRPr="007C1CFC">
        <w:rPr>
          <w:rFonts w:ascii="Arial" w:hAnsi="Arial" w:cs="Arial"/>
        </w:rPr>
        <w:t>Transitional premium/relief</w:t>
      </w:r>
      <w:r w:rsidRPr="007C1CFC">
        <w:rPr>
          <w:rFonts w:ascii="Arial" w:hAnsi="Arial" w:cs="Arial"/>
        </w:rPr>
        <w:tab/>
      </w:r>
      <w:r w:rsidRPr="007C1CFC">
        <w:rPr>
          <w:rFonts w:ascii="Arial" w:hAnsi="Arial" w:cs="Arial"/>
        </w:rPr>
        <w:tab/>
        <w:t>=</w:t>
      </w:r>
      <w:r w:rsidRPr="007C1CFC">
        <w:rPr>
          <w:rFonts w:ascii="Arial" w:hAnsi="Arial" w:cs="Arial"/>
        </w:rPr>
        <w:tab/>
        <w:t>Transitional limit - Notional chargeable amount</w:t>
      </w:r>
    </w:p>
    <w:p w:rsidR="007C1CFC" w:rsidRPr="007C1CFC" w:rsidRDefault="007C1CFC" w:rsidP="007C1CFC">
      <w:pPr>
        <w:spacing w:line="240" w:lineRule="auto"/>
        <w:contextualSpacing/>
        <w:rPr>
          <w:rFonts w:ascii="Arial" w:hAnsi="Arial" w:cs="Arial"/>
        </w:rPr>
      </w:pPr>
    </w:p>
    <w:p w:rsidR="007C1CFC" w:rsidRPr="007C1CFC" w:rsidRDefault="007C1CFC" w:rsidP="007C1CFC">
      <w:pPr>
        <w:rPr>
          <w:rFonts w:ascii="Arial" w:hAnsi="Arial" w:cs="Arial"/>
        </w:rPr>
      </w:pPr>
      <w:r w:rsidRPr="007C1CFC">
        <w:rPr>
          <w:rFonts w:ascii="Arial" w:hAnsi="Arial" w:cs="Arial"/>
        </w:rPr>
        <w:t>Transitional chargeable amount</w:t>
      </w:r>
      <w:r w:rsidRPr="007C1CFC">
        <w:rPr>
          <w:rFonts w:ascii="Arial" w:hAnsi="Arial" w:cs="Arial"/>
        </w:rPr>
        <w:tab/>
        <w:t>=</w:t>
      </w:r>
      <w:r w:rsidRPr="007C1CFC">
        <w:rPr>
          <w:rFonts w:ascii="Arial" w:hAnsi="Arial" w:cs="Arial"/>
        </w:rPr>
        <w:tab/>
        <w:t>Gross charge + Transitional premium/relief</w:t>
      </w:r>
    </w:p>
    <w:p w:rsidR="007C1CFC" w:rsidRDefault="007C1CFC" w:rsidP="00962CA3">
      <w:pPr>
        <w:rPr>
          <w:rFonts w:ascii="Arial" w:hAnsi="Arial" w:cs="Arial"/>
          <w:b/>
          <w:u w:val="single"/>
        </w:rPr>
      </w:pPr>
    </w:p>
    <w:p w:rsidR="00962CA3" w:rsidRDefault="007C1CFC" w:rsidP="00962CA3">
      <w:pPr>
        <w:rPr>
          <w:rFonts w:ascii="Arial" w:hAnsi="Arial" w:cs="Arial"/>
          <w:b/>
          <w:u w:val="single"/>
        </w:rPr>
      </w:pPr>
      <w:r>
        <w:rPr>
          <w:rFonts w:ascii="Arial" w:hAnsi="Arial" w:cs="Arial"/>
          <w:b/>
          <w:u w:val="single"/>
        </w:rPr>
        <w:t>Appropriate m</w:t>
      </w:r>
      <w:r w:rsidR="00962CA3">
        <w:rPr>
          <w:rFonts w:ascii="Arial" w:hAnsi="Arial" w:cs="Arial"/>
          <w:b/>
          <w:u w:val="single"/>
        </w:rPr>
        <w:t>ultipliers to be used:</w:t>
      </w:r>
    </w:p>
    <w:p w:rsidR="00962CA3" w:rsidRDefault="00962CA3" w:rsidP="00962CA3">
      <w:pPr>
        <w:rPr>
          <w:rFonts w:ascii="Arial" w:hAnsi="Arial" w:cs="Arial"/>
        </w:rPr>
      </w:pPr>
      <w:r>
        <w:rPr>
          <w:rFonts w:ascii="Arial" w:hAnsi="Arial" w:cs="Arial"/>
          <w:u w:val="single"/>
        </w:rPr>
        <w:t>Non-domestic multiplier 2017/2018</w:t>
      </w:r>
      <w:r>
        <w:rPr>
          <w:rFonts w:ascii="Arial" w:hAnsi="Arial" w:cs="Arial"/>
        </w:rPr>
        <w:tab/>
      </w:r>
      <w:r>
        <w:rPr>
          <w:rFonts w:ascii="Arial" w:hAnsi="Arial" w:cs="Arial"/>
        </w:rPr>
        <w:tab/>
        <w:t>0.479</w:t>
      </w:r>
    </w:p>
    <w:p w:rsidR="00962CA3" w:rsidRDefault="00962CA3" w:rsidP="00962CA3">
      <w:pPr>
        <w:rPr>
          <w:rFonts w:ascii="Arial" w:hAnsi="Arial" w:cs="Arial"/>
        </w:rPr>
      </w:pPr>
      <w:r>
        <w:rPr>
          <w:rFonts w:ascii="Arial" w:hAnsi="Arial" w:cs="Arial"/>
        </w:rPr>
        <w:t>Used to calculate the gross charge for all hereditaments with the following circumstances:</w:t>
      </w:r>
    </w:p>
    <w:p w:rsidR="00962CA3" w:rsidRDefault="00962CA3" w:rsidP="00962CA3">
      <w:pPr>
        <w:pStyle w:val="ListParagraph"/>
        <w:numPr>
          <w:ilvl w:val="0"/>
          <w:numId w:val="1"/>
        </w:numPr>
        <w:rPr>
          <w:rFonts w:ascii="Arial" w:hAnsi="Arial" w:cs="Arial"/>
        </w:rPr>
      </w:pPr>
      <w:r>
        <w:rPr>
          <w:rFonts w:ascii="Arial" w:hAnsi="Arial" w:cs="Arial"/>
        </w:rPr>
        <w:t>r</w:t>
      </w:r>
      <w:r w:rsidRPr="00284D44">
        <w:rPr>
          <w:rFonts w:ascii="Arial" w:hAnsi="Arial" w:cs="Arial"/>
        </w:rPr>
        <w:t>ateable value £51,000 and over</w:t>
      </w:r>
    </w:p>
    <w:p w:rsidR="00962CA3" w:rsidRDefault="00962CA3" w:rsidP="00962CA3">
      <w:pPr>
        <w:pStyle w:val="ListParagraph"/>
        <w:numPr>
          <w:ilvl w:val="0"/>
          <w:numId w:val="1"/>
        </w:numPr>
        <w:rPr>
          <w:rFonts w:ascii="Arial" w:hAnsi="Arial" w:cs="Arial"/>
        </w:rPr>
      </w:pPr>
      <w:r w:rsidRPr="00284D44">
        <w:rPr>
          <w:rFonts w:ascii="Arial" w:hAnsi="Arial" w:cs="Arial"/>
        </w:rPr>
        <w:t>unoccupied properties regardless of rateable value</w:t>
      </w:r>
    </w:p>
    <w:p w:rsidR="00962CA3" w:rsidRPr="00284D44" w:rsidRDefault="00962CA3" w:rsidP="00962CA3">
      <w:pPr>
        <w:pStyle w:val="ListParagraph"/>
        <w:numPr>
          <w:ilvl w:val="0"/>
          <w:numId w:val="1"/>
        </w:numPr>
        <w:rPr>
          <w:rFonts w:ascii="Arial" w:hAnsi="Arial" w:cs="Arial"/>
        </w:rPr>
      </w:pPr>
      <w:r>
        <w:rPr>
          <w:rFonts w:ascii="Arial" w:hAnsi="Arial" w:cs="Arial"/>
        </w:rPr>
        <w:t>charitable properties regardless of rateable value</w:t>
      </w:r>
    </w:p>
    <w:p w:rsidR="00962CA3" w:rsidRDefault="00962CA3" w:rsidP="00962CA3">
      <w:pPr>
        <w:rPr>
          <w:rFonts w:ascii="Arial" w:hAnsi="Arial" w:cs="Arial"/>
        </w:rPr>
      </w:pPr>
      <w:r>
        <w:rPr>
          <w:rFonts w:ascii="Arial" w:hAnsi="Arial" w:cs="Arial"/>
          <w:u w:val="single"/>
        </w:rPr>
        <w:t>Small business multiplier 2017/2018</w:t>
      </w:r>
      <w:r>
        <w:rPr>
          <w:rFonts w:ascii="Arial" w:hAnsi="Arial" w:cs="Arial"/>
        </w:rPr>
        <w:tab/>
      </w:r>
      <w:r>
        <w:rPr>
          <w:rFonts w:ascii="Arial" w:hAnsi="Arial" w:cs="Arial"/>
        </w:rPr>
        <w:tab/>
        <w:t>0.466</w:t>
      </w:r>
    </w:p>
    <w:p w:rsidR="00962CA3" w:rsidRDefault="00962CA3" w:rsidP="00962CA3">
      <w:pPr>
        <w:rPr>
          <w:rFonts w:ascii="Arial" w:hAnsi="Arial" w:cs="Arial"/>
        </w:rPr>
      </w:pPr>
      <w:r>
        <w:rPr>
          <w:rFonts w:ascii="Arial" w:hAnsi="Arial" w:cs="Arial"/>
        </w:rPr>
        <w:t>Used to calculate the gross charge for all hereditaments with the following circumstances:</w:t>
      </w:r>
    </w:p>
    <w:p w:rsidR="00962CA3" w:rsidRDefault="00962CA3" w:rsidP="00962CA3">
      <w:pPr>
        <w:pStyle w:val="ListParagraph"/>
        <w:numPr>
          <w:ilvl w:val="0"/>
          <w:numId w:val="2"/>
        </w:numPr>
        <w:rPr>
          <w:rFonts w:ascii="Arial" w:hAnsi="Arial" w:cs="Arial"/>
        </w:rPr>
      </w:pPr>
      <w:r>
        <w:rPr>
          <w:rFonts w:ascii="Arial" w:hAnsi="Arial" w:cs="Arial"/>
        </w:rPr>
        <w:t>occupied properties with rateable value under £51,000</w:t>
      </w:r>
    </w:p>
    <w:p w:rsidR="00962CA3" w:rsidRDefault="00962CA3" w:rsidP="00962CA3">
      <w:pPr>
        <w:rPr>
          <w:rFonts w:ascii="Arial" w:hAnsi="Arial" w:cs="Arial"/>
          <w:b/>
          <w:u w:val="single"/>
        </w:rPr>
      </w:pPr>
      <w:r>
        <w:rPr>
          <w:rFonts w:ascii="Arial" w:hAnsi="Arial" w:cs="Arial"/>
          <w:b/>
          <w:u w:val="single"/>
        </w:rPr>
        <w:lastRenderedPageBreak/>
        <w:t>Calculating the appropriate fraction:</w:t>
      </w:r>
    </w:p>
    <w:p w:rsidR="00962CA3" w:rsidRDefault="00962CA3" w:rsidP="00962CA3">
      <w:pPr>
        <w:spacing w:line="240" w:lineRule="auto"/>
        <w:contextualSpacing/>
        <w:rPr>
          <w:rFonts w:ascii="Arial" w:hAnsi="Arial" w:cs="Arial"/>
        </w:rPr>
      </w:pPr>
      <w:r w:rsidRPr="00795885">
        <w:rPr>
          <w:rFonts w:ascii="Arial" w:hAnsi="Arial" w:cs="Arial"/>
        </w:rPr>
        <w:t xml:space="preserve">The Government has set the maximum increase/decrease </w:t>
      </w:r>
      <w:r>
        <w:rPr>
          <w:rFonts w:ascii="Arial" w:hAnsi="Arial" w:cs="Arial"/>
        </w:rPr>
        <w:t xml:space="preserve">allowed </w:t>
      </w:r>
      <w:r w:rsidRPr="00795885">
        <w:rPr>
          <w:rFonts w:ascii="Arial" w:hAnsi="Arial" w:cs="Arial"/>
        </w:rPr>
        <w:t>before inflation</w:t>
      </w:r>
      <w:r>
        <w:rPr>
          <w:rFonts w:ascii="Arial" w:hAnsi="Arial" w:cs="Arial"/>
        </w:rPr>
        <w:t xml:space="preserve"> dependant on your 2017 rateable value (RV).  The Government have determined that RV’s fall into the following categories:</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Small RV</w:t>
      </w:r>
      <w:r>
        <w:rPr>
          <w:rFonts w:ascii="Arial" w:hAnsi="Arial" w:cs="Arial"/>
        </w:rPr>
        <w:tab/>
        <w:t>= £20,000 or less</w:t>
      </w:r>
    </w:p>
    <w:p w:rsidR="00962CA3" w:rsidRDefault="00962CA3" w:rsidP="00962CA3">
      <w:pPr>
        <w:spacing w:line="240" w:lineRule="auto"/>
        <w:contextualSpacing/>
        <w:rPr>
          <w:rFonts w:ascii="Arial" w:hAnsi="Arial" w:cs="Arial"/>
        </w:rPr>
      </w:pPr>
      <w:r>
        <w:rPr>
          <w:rFonts w:ascii="Arial" w:hAnsi="Arial" w:cs="Arial"/>
        </w:rPr>
        <w:t>Medium RV</w:t>
      </w:r>
      <w:r>
        <w:rPr>
          <w:rFonts w:ascii="Arial" w:hAnsi="Arial" w:cs="Arial"/>
        </w:rPr>
        <w:tab/>
        <w:t>= £100,000 or less</w:t>
      </w:r>
    </w:p>
    <w:p w:rsidR="00962CA3" w:rsidRDefault="00962CA3" w:rsidP="00962CA3">
      <w:pPr>
        <w:spacing w:line="240" w:lineRule="auto"/>
        <w:contextualSpacing/>
        <w:rPr>
          <w:rFonts w:ascii="Arial" w:hAnsi="Arial" w:cs="Arial"/>
        </w:rPr>
      </w:pPr>
      <w:r>
        <w:rPr>
          <w:rFonts w:ascii="Arial" w:hAnsi="Arial" w:cs="Arial"/>
        </w:rPr>
        <w:t>Large RV</w:t>
      </w:r>
      <w:r>
        <w:rPr>
          <w:rFonts w:ascii="Arial" w:hAnsi="Arial" w:cs="Arial"/>
        </w:rPr>
        <w:tab/>
        <w:t xml:space="preserve">= above £100,000 </w:t>
      </w:r>
    </w:p>
    <w:p w:rsidR="00962CA3" w:rsidRDefault="00962CA3" w:rsidP="00962CA3">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2509"/>
        <w:gridCol w:w="2510"/>
        <w:gridCol w:w="2510"/>
        <w:gridCol w:w="2510"/>
      </w:tblGrid>
      <w:tr w:rsidR="00962CA3" w:rsidTr="00763F1C">
        <w:tc>
          <w:tcPr>
            <w:tcW w:w="2509" w:type="dxa"/>
          </w:tcPr>
          <w:p w:rsidR="00962CA3" w:rsidRDefault="00962CA3" w:rsidP="00763F1C">
            <w:pPr>
              <w:contextualSpacing/>
              <w:jc w:val="center"/>
              <w:rPr>
                <w:rFonts w:ascii="Arial" w:hAnsi="Arial" w:cs="Arial"/>
              </w:rPr>
            </w:pPr>
          </w:p>
        </w:tc>
        <w:tc>
          <w:tcPr>
            <w:tcW w:w="2510" w:type="dxa"/>
          </w:tcPr>
          <w:p w:rsidR="00962CA3" w:rsidRPr="00C83784" w:rsidRDefault="00962CA3" w:rsidP="00763F1C">
            <w:pPr>
              <w:contextualSpacing/>
              <w:jc w:val="center"/>
              <w:rPr>
                <w:rFonts w:ascii="Arial" w:hAnsi="Arial" w:cs="Arial"/>
                <w:b/>
              </w:rPr>
            </w:pPr>
            <w:r w:rsidRPr="00C83784">
              <w:rPr>
                <w:rFonts w:ascii="Arial" w:hAnsi="Arial" w:cs="Arial"/>
                <w:b/>
              </w:rPr>
              <w:t>Small RV</w:t>
            </w:r>
          </w:p>
        </w:tc>
        <w:tc>
          <w:tcPr>
            <w:tcW w:w="2510" w:type="dxa"/>
          </w:tcPr>
          <w:p w:rsidR="00962CA3" w:rsidRPr="00C83784" w:rsidRDefault="00962CA3" w:rsidP="00763F1C">
            <w:pPr>
              <w:contextualSpacing/>
              <w:jc w:val="center"/>
              <w:rPr>
                <w:rFonts w:ascii="Arial" w:hAnsi="Arial" w:cs="Arial"/>
                <w:b/>
              </w:rPr>
            </w:pPr>
            <w:r w:rsidRPr="00C83784">
              <w:rPr>
                <w:rFonts w:ascii="Arial" w:hAnsi="Arial" w:cs="Arial"/>
                <w:b/>
              </w:rPr>
              <w:t>Medium RV</w:t>
            </w:r>
          </w:p>
        </w:tc>
        <w:tc>
          <w:tcPr>
            <w:tcW w:w="2510" w:type="dxa"/>
          </w:tcPr>
          <w:p w:rsidR="00962CA3" w:rsidRPr="00C83784" w:rsidRDefault="00962CA3" w:rsidP="00763F1C">
            <w:pPr>
              <w:contextualSpacing/>
              <w:jc w:val="center"/>
              <w:rPr>
                <w:rFonts w:ascii="Arial" w:hAnsi="Arial" w:cs="Arial"/>
                <w:b/>
              </w:rPr>
            </w:pPr>
            <w:r w:rsidRPr="00C83784">
              <w:rPr>
                <w:rFonts w:ascii="Arial" w:hAnsi="Arial" w:cs="Arial"/>
                <w:b/>
              </w:rPr>
              <w:t>Large RV</w:t>
            </w:r>
          </w:p>
        </w:tc>
      </w:tr>
      <w:tr w:rsidR="00962CA3" w:rsidTr="00763F1C">
        <w:tc>
          <w:tcPr>
            <w:tcW w:w="2509" w:type="dxa"/>
          </w:tcPr>
          <w:p w:rsidR="00962CA3" w:rsidRPr="00C83784" w:rsidRDefault="00962CA3" w:rsidP="00763F1C">
            <w:pPr>
              <w:contextualSpacing/>
              <w:jc w:val="center"/>
              <w:rPr>
                <w:rFonts w:ascii="Arial" w:hAnsi="Arial" w:cs="Arial"/>
                <w:b/>
              </w:rPr>
            </w:pPr>
            <w:r w:rsidRPr="00C83784">
              <w:rPr>
                <w:rFonts w:ascii="Arial" w:hAnsi="Arial" w:cs="Arial"/>
                <w:b/>
              </w:rPr>
              <w:t>Limits on increases</w:t>
            </w:r>
            <w:r>
              <w:rPr>
                <w:rFonts w:ascii="Arial" w:hAnsi="Arial" w:cs="Arial"/>
                <w:b/>
              </w:rPr>
              <w:t xml:space="preserve"> 2017/2018</w:t>
            </w:r>
          </w:p>
        </w:tc>
        <w:tc>
          <w:tcPr>
            <w:tcW w:w="2510" w:type="dxa"/>
          </w:tcPr>
          <w:p w:rsidR="00962CA3" w:rsidRDefault="00962CA3" w:rsidP="00763F1C">
            <w:pPr>
              <w:contextualSpacing/>
              <w:jc w:val="center"/>
              <w:rPr>
                <w:rFonts w:ascii="Arial" w:hAnsi="Arial" w:cs="Arial"/>
              </w:rPr>
            </w:pPr>
            <w:r>
              <w:rPr>
                <w:rFonts w:ascii="Arial" w:hAnsi="Arial" w:cs="Arial"/>
              </w:rPr>
              <w:t>5.0 % (105/100)*</w:t>
            </w:r>
          </w:p>
        </w:tc>
        <w:tc>
          <w:tcPr>
            <w:tcW w:w="2510" w:type="dxa"/>
          </w:tcPr>
          <w:p w:rsidR="00962CA3" w:rsidRDefault="00962CA3" w:rsidP="00763F1C">
            <w:pPr>
              <w:contextualSpacing/>
              <w:jc w:val="center"/>
              <w:rPr>
                <w:rFonts w:ascii="Arial" w:hAnsi="Arial" w:cs="Arial"/>
              </w:rPr>
            </w:pPr>
            <w:r>
              <w:rPr>
                <w:rFonts w:ascii="Arial" w:hAnsi="Arial" w:cs="Arial"/>
              </w:rPr>
              <w:t>12.5% (112.5/100)*</w:t>
            </w:r>
          </w:p>
        </w:tc>
        <w:tc>
          <w:tcPr>
            <w:tcW w:w="2510" w:type="dxa"/>
          </w:tcPr>
          <w:p w:rsidR="00962CA3" w:rsidRDefault="00962CA3" w:rsidP="00763F1C">
            <w:pPr>
              <w:contextualSpacing/>
              <w:jc w:val="center"/>
              <w:rPr>
                <w:rFonts w:ascii="Arial" w:hAnsi="Arial" w:cs="Arial"/>
              </w:rPr>
            </w:pPr>
            <w:r>
              <w:rPr>
                <w:rFonts w:ascii="Arial" w:hAnsi="Arial" w:cs="Arial"/>
              </w:rPr>
              <w:t>42.0% (142/100)*</w:t>
            </w:r>
          </w:p>
        </w:tc>
      </w:tr>
      <w:tr w:rsidR="00962CA3" w:rsidTr="00763F1C">
        <w:tc>
          <w:tcPr>
            <w:tcW w:w="2509" w:type="dxa"/>
          </w:tcPr>
          <w:p w:rsidR="00962CA3" w:rsidRPr="00C83784" w:rsidRDefault="00962CA3" w:rsidP="00763F1C">
            <w:pPr>
              <w:contextualSpacing/>
              <w:jc w:val="center"/>
              <w:rPr>
                <w:rFonts w:ascii="Arial" w:hAnsi="Arial" w:cs="Arial"/>
                <w:b/>
              </w:rPr>
            </w:pPr>
            <w:r w:rsidRPr="00C83784">
              <w:rPr>
                <w:rFonts w:ascii="Arial" w:hAnsi="Arial" w:cs="Arial"/>
                <w:b/>
              </w:rPr>
              <w:t>Limits on decreases</w:t>
            </w:r>
            <w:r>
              <w:rPr>
                <w:rFonts w:ascii="Arial" w:hAnsi="Arial" w:cs="Arial"/>
                <w:b/>
              </w:rPr>
              <w:t xml:space="preserve"> 2017/2018</w:t>
            </w:r>
          </w:p>
        </w:tc>
        <w:tc>
          <w:tcPr>
            <w:tcW w:w="2510" w:type="dxa"/>
          </w:tcPr>
          <w:p w:rsidR="00962CA3" w:rsidRDefault="00962CA3" w:rsidP="00763F1C">
            <w:pPr>
              <w:contextualSpacing/>
              <w:jc w:val="center"/>
              <w:rPr>
                <w:rFonts w:ascii="Arial" w:hAnsi="Arial" w:cs="Arial"/>
              </w:rPr>
            </w:pPr>
            <w:r>
              <w:rPr>
                <w:rFonts w:ascii="Arial" w:hAnsi="Arial" w:cs="Arial"/>
              </w:rPr>
              <w:t>20.0% (80/100)*</w:t>
            </w:r>
          </w:p>
        </w:tc>
        <w:tc>
          <w:tcPr>
            <w:tcW w:w="2510" w:type="dxa"/>
          </w:tcPr>
          <w:p w:rsidR="00962CA3" w:rsidRDefault="00962CA3" w:rsidP="00763F1C">
            <w:pPr>
              <w:contextualSpacing/>
              <w:jc w:val="center"/>
              <w:rPr>
                <w:rFonts w:ascii="Arial" w:hAnsi="Arial" w:cs="Arial"/>
              </w:rPr>
            </w:pPr>
            <w:r>
              <w:rPr>
                <w:rFonts w:ascii="Arial" w:hAnsi="Arial" w:cs="Arial"/>
              </w:rPr>
              <w:t>10.0% (90/100)*</w:t>
            </w:r>
          </w:p>
        </w:tc>
        <w:tc>
          <w:tcPr>
            <w:tcW w:w="2510" w:type="dxa"/>
          </w:tcPr>
          <w:p w:rsidR="00962CA3" w:rsidRDefault="00962CA3" w:rsidP="00763F1C">
            <w:pPr>
              <w:contextualSpacing/>
              <w:jc w:val="center"/>
              <w:rPr>
                <w:rFonts w:ascii="Arial" w:hAnsi="Arial" w:cs="Arial"/>
              </w:rPr>
            </w:pPr>
            <w:r>
              <w:rPr>
                <w:rFonts w:ascii="Arial" w:hAnsi="Arial" w:cs="Arial"/>
              </w:rPr>
              <w:t>4.1% (95.9/100)*</w:t>
            </w:r>
          </w:p>
        </w:tc>
      </w:tr>
    </w:tbl>
    <w:p w:rsidR="00962CA3" w:rsidRPr="00795885" w:rsidRDefault="00962CA3" w:rsidP="00962CA3">
      <w:pPr>
        <w:spacing w:line="240" w:lineRule="auto"/>
        <w:contextualSpacing/>
        <w:jc w:val="center"/>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 xml:space="preserve">* </w:t>
      </w:r>
      <w:r w:rsidRPr="00795885">
        <w:rPr>
          <w:rFonts w:ascii="Arial" w:hAnsi="Arial" w:cs="Arial"/>
        </w:rPr>
        <w:t>These percentages are shown as a fraction in brackets.</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sidRPr="00795885">
        <w:rPr>
          <w:rFonts w:ascii="Arial" w:hAnsi="Arial" w:cs="Arial"/>
        </w:rPr>
        <w:t>To get the appropriate fraction figure you multiply the relevant % by the R</w:t>
      </w:r>
      <w:r>
        <w:rPr>
          <w:rFonts w:ascii="Arial" w:hAnsi="Arial" w:cs="Arial"/>
        </w:rPr>
        <w:t xml:space="preserve">etail </w:t>
      </w:r>
      <w:r w:rsidRPr="00795885">
        <w:rPr>
          <w:rFonts w:ascii="Arial" w:hAnsi="Arial" w:cs="Arial"/>
        </w:rPr>
        <w:t>P</w:t>
      </w:r>
      <w:r>
        <w:rPr>
          <w:rFonts w:ascii="Arial" w:hAnsi="Arial" w:cs="Arial"/>
        </w:rPr>
        <w:t xml:space="preserve">rice </w:t>
      </w:r>
      <w:r w:rsidRPr="00795885">
        <w:rPr>
          <w:rFonts w:ascii="Arial" w:hAnsi="Arial" w:cs="Arial"/>
        </w:rPr>
        <w:t>I</w:t>
      </w:r>
      <w:r>
        <w:rPr>
          <w:rFonts w:ascii="Arial" w:hAnsi="Arial" w:cs="Arial"/>
        </w:rPr>
        <w:t xml:space="preserve">ndex </w:t>
      </w:r>
      <w:r w:rsidRPr="00795885">
        <w:rPr>
          <w:rFonts w:ascii="Arial" w:hAnsi="Arial" w:cs="Arial"/>
        </w:rPr>
        <w:t>figure at September 2016</w:t>
      </w:r>
      <w:r>
        <w:rPr>
          <w:rFonts w:ascii="Arial" w:hAnsi="Arial" w:cs="Arial"/>
        </w:rPr>
        <w:t xml:space="preserve">, this being </w:t>
      </w:r>
      <w:r w:rsidRPr="00795885">
        <w:rPr>
          <w:rFonts w:ascii="Arial" w:hAnsi="Arial" w:cs="Arial"/>
        </w:rPr>
        <w:t>2% (1.020).</w:t>
      </w:r>
    </w:p>
    <w:p w:rsidR="00962CA3" w:rsidRDefault="00962CA3" w:rsidP="00962CA3">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2509"/>
        <w:gridCol w:w="2510"/>
        <w:gridCol w:w="2510"/>
        <w:gridCol w:w="2510"/>
      </w:tblGrid>
      <w:tr w:rsidR="00962CA3" w:rsidTr="00763F1C">
        <w:tc>
          <w:tcPr>
            <w:tcW w:w="2509" w:type="dxa"/>
          </w:tcPr>
          <w:p w:rsidR="00962CA3" w:rsidRDefault="00962CA3" w:rsidP="00763F1C">
            <w:pPr>
              <w:contextualSpacing/>
              <w:jc w:val="center"/>
              <w:rPr>
                <w:rFonts w:ascii="Arial" w:hAnsi="Arial" w:cs="Arial"/>
              </w:rPr>
            </w:pPr>
          </w:p>
        </w:tc>
        <w:tc>
          <w:tcPr>
            <w:tcW w:w="2510" w:type="dxa"/>
          </w:tcPr>
          <w:p w:rsidR="00962CA3" w:rsidRPr="001A2064" w:rsidRDefault="00962CA3" w:rsidP="00763F1C">
            <w:pPr>
              <w:contextualSpacing/>
              <w:jc w:val="center"/>
              <w:rPr>
                <w:rFonts w:ascii="Arial" w:hAnsi="Arial" w:cs="Arial"/>
                <w:b/>
              </w:rPr>
            </w:pPr>
            <w:r w:rsidRPr="001A2064">
              <w:rPr>
                <w:rFonts w:ascii="Arial" w:hAnsi="Arial" w:cs="Arial"/>
                <w:b/>
              </w:rPr>
              <w:t>Small RV</w:t>
            </w:r>
          </w:p>
        </w:tc>
        <w:tc>
          <w:tcPr>
            <w:tcW w:w="2510" w:type="dxa"/>
          </w:tcPr>
          <w:p w:rsidR="00962CA3" w:rsidRPr="001A2064" w:rsidRDefault="00962CA3" w:rsidP="00763F1C">
            <w:pPr>
              <w:contextualSpacing/>
              <w:jc w:val="center"/>
              <w:rPr>
                <w:rFonts w:ascii="Arial" w:hAnsi="Arial" w:cs="Arial"/>
                <w:b/>
              </w:rPr>
            </w:pPr>
            <w:r w:rsidRPr="001A2064">
              <w:rPr>
                <w:rFonts w:ascii="Arial" w:hAnsi="Arial" w:cs="Arial"/>
                <w:b/>
              </w:rPr>
              <w:t>Medium RV</w:t>
            </w:r>
          </w:p>
        </w:tc>
        <w:tc>
          <w:tcPr>
            <w:tcW w:w="2510" w:type="dxa"/>
          </w:tcPr>
          <w:p w:rsidR="00962CA3" w:rsidRPr="001A2064" w:rsidRDefault="00962CA3" w:rsidP="00763F1C">
            <w:pPr>
              <w:contextualSpacing/>
              <w:jc w:val="center"/>
              <w:rPr>
                <w:rFonts w:ascii="Arial" w:hAnsi="Arial" w:cs="Arial"/>
                <w:b/>
              </w:rPr>
            </w:pPr>
            <w:r w:rsidRPr="001A2064">
              <w:rPr>
                <w:rFonts w:ascii="Arial" w:hAnsi="Arial" w:cs="Arial"/>
                <w:b/>
              </w:rPr>
              <w:t>Large RV</w:t>
            </w:r>
          </w:p>
        </w:tc>
      </w:tr>
      <w:tr w:rsidR="00962CA3" w:rsidTr="00763F1C">
        <w:tc>
          <w:tcPr>
            <w:tcW w:w="2509" w:type="dxa"/>
          </w:tcPr>
          <w:p w:rsidR="00962CA3" w:rsidRPr="001A2064" w:rsidRDefault="00962CA3" w:rsidP="00763F1C">
            <w:pPr>
              <w:contextualSpacing/>
              <w:jc w:val="center"/>
              <w:rPr>
                <w:rFonts w:ascii="Arial" w:hAnsi="Arial" w:cs="Arial"/>
                <w:b/>
              </w:rPr>
            </w:pPr>
            <w:r w:rsidRPr="001A2064">
              <w:rPr>
                <w:rFonts w:ascii="Arial" w:hAnsi="Arial" w:cs="Arial"/>
                <w:b/>
              </w:rPr>
              <w:t>Appropriate fraction for 2017/2018 increases</w:t>
            </w:r>
          </w:p>
        </w:tc>
        <w:tc>
          <w:tcPr>
            <w:tcW w:w="2510" w:type="dxa"/>
          </w:tcPr>
          <w:p w:rsidR="00962CA3" w:rsidRDefault="00962CA3" w:rsidP="00763F1C">
            <w:pPr>
              <w:contextualSpacing/>
              <w:jc w:val="center"/>
              <w:rPr>
                <w:rFonts w:ascii="Arial" w:hAnsi="Arial" w:cs="Arial"/>
              </w:rPr>
            </w:pPr>
            <w:r>
              <w:rPr>
                <w:rFonts w:ascii="Arial" w:hAnsi="Arial" w:cs="Arial"/>
              </w:rPr>
              <w:t>1.071</w:t>
            </w:r>
          </w:p>
        </w:tc>
        <w:tc>
          <w:tcPr>
            <w:tcW w:w="2510" w:type="dxa"/>
          </w:tcPr>
          <w:p w:rsidR="00962CA3" w:rsidRDefault="00962CA3" w:rsidP="00763F1C">
            <w:pPr>
              <w:contextualSpacing/>
              <w:jc w:val="center"/>
              <w:rPr>
                <w:rFonts w:ascii="Arial" w:hAnsi="Arial" w:cs="Arial"/>
              </w:rPr>
            </w:pPr>
            <w:r>
              <w:rPr>
                <w:rFonts w:ascii="Arial" w:hAnsi="Arial" w:cs="Arial"/>
              </w:rPr>
              <w:t>1.1475</w:t>
            </w:r>
          </w:p>
        </w:tc>
        <w:tc>
          <w:tcPr>
            <w:tcW w:w="2510" w:type="dxa"/>
          </w:tcPr>
          <w:p w:rsidR="00962CA3" w:rsidRDefault="00962CA3" w:rsidP="00763F1C">
            <w:pPr>
              <w:contextualSpacing/>
              <w:jc w:val="center"/>
              <w:rPr>
                <w:rFonts w:ascii="Arial" w:hAnsi="Arial" w:cs="Arial"/>
              </w:rPr>
            </w:pPr>
            <w:r>
              <w:rPr>
                <w:rFonts w:ascii="Arial" w:hAnsi="Arial" w:cs="Arial"/>
              </w:rPr>
              <w:t>1.4484</w:t>
            </w:r>
          </w:p>
        </w:tc>
      </w:tr>
      <w:tr w:rsidR="00962CA3" w:rsidTr="00763F1C">
        <w:tc>
          <w:tcPr>
            <w:tcW w:w="2509" w:type="dxa"/>
          </w:tcPr>
          <w:p w:rsidR="00962CA3" w:rsidRPr="001A2064" w:rsidRDefault="00962CA3" w:rsidP="00763F1C">
            <w:pPr>
              <w:contextualSpacing/>
              <w:jc w:val="center"/>
              <w:rPr>
                <w:rFonts w:ascii="Arial" w:hAnsi="Arial" w:cs="Arial"/>
                <w:b/>
              </w:rPr>
            </w:pPr>
            <w:r w:rsidRPr="001A2064">
              <w:rPr>
                <w:rFonts w:ascii="Arial" w:hAnsi="Arial" w:cs="Arial"/>
                <w:b/>
              </w:rPr>
              <w:t>Appropriate fraction for 2017/2018 decreases</w:t>
            </w:r>
          </w:p>
        </w:tc>
        <w:tc>
          <w:tcPr>
            <w:tcW w:w="2510" w:type="dxa"/>
          </w:tcPr>
          <w:p w:rsidR="00962CA3" w:rsidRDefault="00962CA3" w:rsidP="00763F1C">
            <w:pPr>
              <w:contextualSpacing/>
              <w:jc w:val="center"/>
              <w:rPr>
                <w:rFonts w:ascii="Arial" w:hAnsi="Arial" w:cs="Arial"/>
              </w:rPr>
            </w:pPr>
            <w:r>
              <w:rPr>
                <w:rFonts w:ascii="Arial" w:hAnsi="Arial" w:cs="Arial"/>
              </w:rPr>
              <w:t>0.816</w:t>
            </w:r>
          </w:p>
        </w:tc>
        <w:tc>
          <w:tcPr>
            <w:tcW w:w="2510" w:type="dxa"/>
          </w:tcPr>
          <w:p w:rsidR="00962CA3" w:rsidRDefault="00962CA3" w:rsidP="00763F1C">
            <w:pPr>
              <w:contextualSpacing/>
              <w:jc w:val="center"/>
              <w:rPr>
                <w:rFonts w:ascii="Arial" w:hAnsi="Arial" w:cs="Arial"/>
              </w:rPr>
            </w:pPr>
            <w:r>
              <w:rPr>
                <w:rFonts w:ascii="Arial" w:hAnsi="Arial" w:cs="Arial"/>
              </w:rPr>
              <w:t>0.918</w:t>
            </w:r>
          </w:p>
        </w:tc>
        <w:tc>
          <w:tcPr>
            <w:tcW w:w="2510" w:type="dxa"/>
          </w:tcPr>
          <w:p w:rsidR="00962CA3" w:rsidRDefault="00962CA3" w:rsidP="00763F1C">
            <w:pPr>
              <w:contextualSpacing/>
              <w:jc w:val="center"/>
              <w:rPr>
                <w:rFonts w:ascii="Arial" w:hAnsi="Arial" w:cs="Arial"/>
              </w:rPr>
            </w:pPr>
            <w:r>
              <w:rPr>
                <w:rFonts w:ascii="Arial" w:hAnsi="Arial" w:cs="Arial"/>
              </w:rPr>
              <w:t>0.97818</w:t>
            </w:r>
          </w:p>
        </w:tc>
      </w:tr>
    </w:tbl>
    <w:p w:rsidR="00962CA3" w:rsidRDefault="00962CA3" w:rsidP="00962CA3">
      <w:pPr>
        <w:rPr>
          <w:rFonts w:ascii="Arial" w:hAnsi="Arial" w:cs="Arial"/>
        </w:rPr>
      </w:pPr>
    </w:p>
    <w:p w:rsidR="00962CA3" w:rsidRDefault="00962CA3" w:rsidP="00962CA3">
      <w:pPr>
        <w:rPr>
          <w:rFonts w:ascii="Arial" w:hAnsi="Arial" w:cs="Arial"/>
        </w:rPr>
      </w:pPr>
    </w:p>
    <w:p w:rsidR="00962CA3" w:rsidRDefault="00962CA3" w:rsidP="00962CA3">
      <w:pPr>
        <w:rPr>
          <w:rFonts w:ascii="Arial" w:hAnsi="Arial" w:cs="Arial"/>
        </w:rPr>
      </w:pPr>
    </w:p>
    <w:p w:rsidR="00962CA3" w:rsidRDefault="00962CA3" w:rsidP="00962CA3">
      <w:pPr>
        <w:rPr>
          <w:rFonts w:ascii="Arial" w:hAnsi="Arial" w:cs="Arial"/>
        </w:rPr>
      </w:pPr>
    </w:p>
    <w:p w:rsidR="00962CA3" w:rsidRDefault="00962CA3" w:rsidP="00962CA3">
      <w:pPr>
        <w:rPr>
          <w:rFonts w:ascii="Arial" w:hAnsi="Arial" w:cs="Arial"/>
        </w:rPr>
      </w:pPr>
    </w:p>
    <w:p w:rsidR="00962CA3" w:rsidRDefault="00962CA3" w:rsidP="00962CA3">
      <w:pPr>
        <w:rPr>
          <w:rFonts w:ascii="Arial" w:hAnsi="Arial" w:cs="Arial"/>
          <w:b/>
          <w:u w:val="single"/>
        </w:rPr>
      </w:pPr>
      <w:r>
        <w:rPr>
          <w:rFonts w:ascii="Arial" w:hAnsi="Arial" w:cs="Arial"/>
          <w:b/>
          <w:u w:val="single"/>
        </w:rPr>
        <w:lastRenderedPageBreak/>
        <w:t>Example calculation for de</w:t>
      </w:r>
      <w:r w:rsidRPr="00CC5C71">
        <w:rPr>
          <w:rFonts w:ascii="Arial" w:hAnsi="Arial" w:cs="Arial"/>
          <w:b/>
          <w:u w:val="single"/>
        </w:rPr>
        <w:t xml:space="preserve">creasing RV </w:t>
      </w:r>
      <w:r>
        <w:rPr>
          <w:rFonts w:ascii="Arial" w:hAnsi="Arial" w:cs="Arial"/>
          <w:b/>
          <w:u w:val="single"/>
        </w:rPr>
        <w:t xml:space="preserve">(over £51,000) </w:t>
      </w:r>
      <w:r w:rsidRPr="00CC5C71">
        <w:rPr>
          <w:rFonts w:ascii="Arial" w:hAnsi="Arial" w:cs="Arial"/>
          <w:b/>
          <w:u w:val="single"/>
        </w:rPr>
        <w:t>for 2017/18:</w:t>
      </w:r>
    </w:p>
    <w:p w:rsidR="00962CA3" w:rsidRPr="00CC5C71" w:rsidRDefault="00962CA3" w:rsidP="00962CA3">
      <w:pPr>
        <w:rPr>
          <w:rFonts w:ascii="Arial" w:hAnsi="Arial" w:cs="Arial"/>
          <w:b/>
          <w:u w:val="single"/>
        </w:rPr>
      </w:pPr>
    </w:p>
    <w:p w:rsidR="00962CA3" w:rsidRDefault="00962CA3" w:rsidP="00962CA3">
      <w:pPr>
        <w:spacing w:line="240" w:lineRule="auto"/>
        <w:contextualSpacing/>
        <w:rPr>
          <w:rFonts w:ascii="Arial" w:hAnsi="Arial" w:cs="Arial"/>
        </w:rPr>
      </w:pPr>
      <w:r>
        <w:rPr>
          <w:rFonts w:ascii="Arial" w:hAnsi="Arial" w:cs="Arial"/>
        </w:rPr>
        <w:t>The hereditament’s RV as at 31/03/2017</w:t>
      </w:r>
      <w:r>
        <w:rPr>
          <w:rFonts w:ascii="Arial" w:hAnsi="Arial" w:cs="Arial"/>
        </w:rPr>
        <w:tab/>
        <w:t>=</w:t>
      </w:r>
      <w:r>
        <w:rPr>
          <w:rFonts w:ascii="Arial" w:hAnsi="Arial" w:cs="Arial"/>
        </w:rPr>
        <w:tab/>
        <w:t>£337,500.00</w:t>
      </w:r>
    </w:p>
    <w:p w:rsidR="00962CA3" w:rsidRDefault="00962CA3" w:rsidP="00962CA3">
      <w:pPr>
        <w:spacing w:line="240" w:lineRule="auto"/>
        <w:contextualSpacing/>
        <w:rPr>
          <w:rFonts w:ascii="Arial" w:hAnsi="Arial" w:cs="Arial"/>
        </w:rPr>
      </w:pPr>
      <w:r>
        <w:rPr>
          <w:rFonts w:ascii="Arial" w:hAnsi="Arial" w:cs="Arial"/>
        </w:rPr>
        <w:t>The hereditament’s RV as at 01/04/2017</w:t>
      </w:r>
      <w:r>
        <w:rPr>
          <w:rFonts w:ascii="Arial" w:hAnsi="Arial" w:cs="Arial"/>
        </w:rPr>
        <w:tab/>
        <w:t>=</w:t>
      </w:r>
      <w:r>
        <w:rPr>
          <w:rFonts w:ascii="Arial" w:hAnsi="Arial" w:cs="Arial"/>
        </w:rPr>
        <w:tab/>
        <w:t>£186,000.00</w:t>
      </w:r>
    </w:p>
    <w:p w:rsidR="00962CA3" w:rsidRDefault="00962CA3" w:rsidP="00962CA3">
      <w:pPr>
        <w:spacing w:line="240" w:lineRule="auto"/>
        <w:contextualSpacing/>
        <w:rPr>
          <w:rFonts w:ascii="Arial" w:hAnsi="Arial" w:cs="Arial"/>
        </w:rPr>
      </w:pPr>
      <w:r>
        <w:rPr>
          <w:rFonts w:ascii="Arial" w:hAnsi="Arial" w:cs="Arial"/>
        </w:rPr>
        <w:t>Non-domestic multiplier 2017/2018</w:t>
      </w:r>
      <w:r>
        <w:rPr>
          <w:rFonts w:ascii="Arial" w:hAnsi="Arial" w:cs="Arial"/>
        </w:rPr>
        <w:tab/>
      </w:r>
      <w:r>
        <w:rPr>
          <w:rFonts w:ascii="Arial" w:hAnsi="Arial" w:cs="Arial"/>
        </w:rPr>
        <w:tab/>
        <w:t>=</w:t>
      </w:r>
      <w:r>
        <w:rPr>
          <w:rFonts w:ascii="Arial" w:hAnsi="Arial" w:cs="Arial"/>
        </w:rPr>
        <w:tab/>
        <w:t>0.479</w:t>
      </w:r>
      <w:bookmarkStart w:id="0" w:name="_GoBack"/>
      <w:bookmarkEnd w:id="0"/>
    </w:p>
    <w:p w:rsidR="00962CA3" w:rsidRDefault="00962CA3" w:rsidP="00962CA3">
      <w:pPr>
        <w:spacing w:line="240" w:lineRule="auto"/>
        <w:contextualSpacing/>
        <w:rPr>
          <w:rFonts w:ascii="Arial" w:hAnsi="Arial" w:cs="Arial"/>
        </w:rPr>
      </w:pPr>
      <w:r>
        <w:rPr>
          <w:rFonts w:ascii="Arial" w:hAnsi="Arial" w:cs="Arial"/>
        </w:rPr>
        <w:t>Small business multiplier 2017/2018</w:t>
      </w:r>
      <w:r>
        <w:rPr>
          <w:rFonts w:ascii="Arial" w:hAnsi="Arial" w:cs="Arial"/>
        </w:rPr>
        <w:tab/>
      </w:r>
      <w:r>
        <w:rPr>
          <w:rFonts w:ascii="Arial" w:hAnsi="Arial" w:cs="Arial"/>
        </w:rPr>
        <w:tab/>
        <w:t>=</w:t>
      </w:r>
      <w:r>
        <w:rPr>
          <w:rFonts w:ascii="Arial" w:hAnsi="Arial" w:cs="Arial"/>
        </w:rPr>
        <w:tab/>
        <w:t>0.466</w:t>
      </w:r>
    </w:p>
    <w:p w:rsidR="00962CA3" w:rsidRDefault="00962CA3" w:rsidP="00962CA3">
      <w:pPr>
        <w:spacing w:line="240" w:lineRule="auto"/>
        <w:contextualSpacing/>
        <w:rPr>
          <w:rFonts w:ascii="Arial" w:hAnsi="Arial" w:cs="Arial"/>
        </w:rPr>
      </w:pPr>
      <w:r>
        <w:rPr>
          <w:rFonts w:ascii="Arial" w:hAnsi="Arial" w:cs="Arial"/>
        </w:rPr>
        <w:t>Small business multiplier 2016/2017</w:t>
      </w:r>
      <w:r>
        <w:rPr>
          <w:rFonts w:ascii="Arial" w:hAnsi="Arial" w:cs="Arial"/>
        </w:rPr>
        <w:tab/>
      </w:r>
      <w:r>
        <w:rPr>
          <w:rFonts w:ascii="Arial" w:hAnsi="Arial" w:cs="Arial"/>
        </w:rPr>
        <w:tab/>
        <w:t>=</w:t>
      </w:r>
      <w:r>
        <w:rPr>
          <w:rFonts w:ascii="Arial" w:hAnsi="Arial" w:cs="Arial"/>
        </w:rPr>
        <w:tab/>
        <w:t>0.484</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Gross charge</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Rateable value as at 01/04/2017 x 2017/18 Non-domestic multiplier</w:t>
      </w:r>
    </w:p>
    <w:p w:rsidR="00962CA3" w:rsidRDefault="00962CA3" w:rsidP="00962CA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£186,000.00 x 0.479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£89,094.00</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Notional chargeable amount</w:t>
      </w:r>
      <w:r>
        <w:rPr>
          <w:rFonts w:ascii="Arial" w:hAnsi="Arial" w:cs="Arial"/>
        </w:rPr>
        <w:tab/>
      </w:r>
      <w:r>
        <w:rPr>
          <w:rFonts w:ascii="Arial" w:hAnsi="Arial" w:cs="Arial"/>
        </w:rPr>
        <w:tab/>
        <w:t>=</w:t>
      </w:r>
      <w:r>
        <w:rPr>
          <w:rFonts w:ascii="Arial" w:hAnsi="Arial" w:cs="Arial"/>
        </w:rPr>
        <w:tab/>
        <w:t>Rateable value as at 01/04/2017 x 2017/18 Small business multiplier</w:t>
      </w:r>
    </w:p>
    <w:p w:rsidR="00962CA3" w:rsidRDefault="00962CA3" w:rsidP="00962CA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£186,000.00 x 0.466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£86,676.00</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Base liability</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Rateable value as at 31/03/2017 x 2016/17 Small business multiplier</w:t>
      </w:r>
    </w:p>
    <w:p w:rsidR="00962CA3" w:rsidRDefault="00962CA3" w:rsidP="00962CA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£337,500.00 x 0.484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£163,350.00</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Transitional limit</w:t>
      </w:r>
      <w:r>
        <w:rPr>
          <w:rFonts w:ascii="Arial" w:hAnsi="Arial" w:cs="Arial"/>
        </w:rPr>
        <w:tab/>
      </w:r>
      <w:r>
        <w:rPr>
          <w:rFonts w:ascii="Arial" w:hAnsi="Arial" w:cs="Arial"/>
        </w:rPr>
        <w:tab/>
      </w:r>
      <w:r>
        <w:rPr>
          <w:rFonts w:ascii="Arial" w:hAnsi="Arial" w:cs="Arial"/>
        </w:rPr>
        <w:tab/>
        <w:t>=</w:t>
      </w:r>
      <w:r>
        <w:rPr>
          <w:rFonts w:ascii="Arial" w:hAnsi="Arial" w:cs="Arial"/>
        </w:rPr>
        <w:tab/>
        <w:t>Base liability x Appropriate fraction (see notes)</w:t>
      </w:r>
    </w:p>
    <w:p w:rsidR="00962CA3" w:rsidRDefault="00962CA3" w:rsidP="00962CA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£163,350.00 x 0.978180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£159,785.70</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Transitional premium</w:t>
      </w:r>
      <w:r>
        <w:rPr>
          <w:rFonts w:ascii="Arial" w:hAnsi="Arial" w:cs="Arial"/>
        </w:rPr>
        <w:tab/>
      </w:r>
      <w:r>
        <w:rPr>
          <w:rFonts w:ascii="Arial" w:hAnsi="Arial" w:cs="Arial"/>
        </w:rPr>
        <w:tab/>
      </w:r>
      <w:r>
        <w:rPr>
          <w:rFonts w:ascii="Arial" w:hAnsi="Arial" w:cs="Arial"/>
        </w:rPr>
        <w:tab/>
        <w:t>=</w:t>
      </w:r>
      <w:r>
        <w:rPr>
          <w:rFonts w:ascii="Arial" w:hAnsi="Arial" w:cs="Arial"/>
        </w:rPr>
        <w:tab/>
        <w:t>Transitional limit - Notional chargeable amount</w:t>
      </w:r>
    </w:p>
    <w:p w:rsidR="00962CA3" w:rsidRDefault="00962CA3" w:rsidP="00962CA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£159,785.70 - £86,676.00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£73,109.70</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Transitional chargeable amount</w:t>
      </w:r>
      <w:r>
        <w:rPr>
          <w:rFonts w:ascii="Arial" w:hAnsi="Arial" w:cs="Arial"/>
        </w:rPr>
        <w:tab/>
        <w:t>=</w:t>
      </w:r>
      <w:r>
        <w:rPr>
          <w:rFonts w:ascii="Arial" w:hAnsi="Arial" w:cs="Arial"/>
        </w:rPr>
        <w:tab/>
        <w:t>Gross charge + Transitional premium</w:t>
      </w:r>
    </w:p>
    <w:p w:rsidR="00962CA3" w:rsidRDefault="00962CA3" w:rsidP="00962CA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£89,094.00 + £73,109.70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£162,203.70</w:t>
      </w:r>
    </w:p>
    <w:p w:rsidR="00962CA3" w:rsidRDefault="00962CA3" w:rsidP="00962CA3">
      <w:pPr>
        <w:spacing w:line="240" w:lineRule="auto"/>
        <w:contextualSpacing/>
        <w:rPr>
          <w:rFonts w:ascii="Arial" w:hAnsi="Arial" w:cs="Arial"/>
        </w:rPr>
      </w:pPr>
    </w:p>
    <w:p w:rsidR="00962CA3" w:rsidRDefault="00962CA3" w:rsidP="00962CA3">
      <w:pPr>
        <w:rPr>
          <w:rFonts w:ascii="Arial" w:hAnsi="Arial" w:cs="Arial"/>
          <w:b/>
        </w:rPr>
      </w:pPr>
      <w:r>
        <w:rPr>
          <w:rFonts w:ascii="Arial" w:hAnsi="Arial" w:cs="Arial"/>
          <w:b/>
        </w:rPr>
        <w:t>Total charge for 2017/18</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£162,203.70</w:t>
      </w:r>
    </w:p>
    <w:p w:rsidR="00962CA3" w:rsidRDefault="00962CA3" w:rsidP="00962CA3">
      <w:pPr>
        <w:rPr>
          <w:rFonts w:ascii="Arial" w:hAnsi="Arial" w:cs="Arial"/>
        </w:rPr>
      </w:pPr>
    </w:p>
    <w:p w:rsidR="00962CA3" w:rsidRDefault="00962CA3" w:rsidP="00962CA3">
      <w:pPr>
        <w:rPr>
          <w:rFonts w:ascii="Arial" w:hAnsi="Arial" w:cs="Arial"/>
        </w:rPr>
      </w:pPr>
    </w:p>
    <w:p w:rsidR="00962CA3" w:rsidRDefault="00962CA3" w:rsidP="00962CA3">
      <w:pPr>
        <w:rPr>
          <w:rFonts w:ascii="Arial" w:hAnsi="Arial" w:cs="Arial"/>
          <w:b/>
          <w:u w:val="single"/>
        </w:rPr>
      </w:pPr>
      <w:r w:rsidRPr="00CC5C71">
        <w:rPr>
          <w:rFonts w:ascii="Arial" w:hAnsi="Arial" w:cs="Arial"/>
          <w:b/>
          <w:u w:val="single"/>
        </w:rPr>
        <w:lastRenderedPageBreak/>
        <w:t xml:space="preserve">Example calculation for </w:t>
      </w:r>
      <w:r>
        <w:rPr>
          <w:rFonts w:ascii="Arial" w:hAnsi="Arial" w:cs="Arial"/>
          <w:b/>
          <w:u w:val="single"/>
        </w:rPr>
        <w:t xml:space="preserve">an occupied </w:t>
      </w:r>
      <w:r w:rsidRPr="00CC5C71">
        <w:rPr>
          <w:rFonts w:ascii="Arial" w:hAnsi="Arial" w:cs="Arial"/>
          <w:b/>
          <w:u w:val="single"/>
        </w:rPr>
        <w:t xml:space="preserve">increasing RV </w:t>
      </w:r>
      <w:r>
        <w:rPr>
          <w:rFonts w:ascii="Arial" w:hAnsi="Arial" w:cs="Arial"/>
          <w:b/>
          <w:u w:val="single"/>
        </w:rPr>
        <w:t xml:space="preserve">(under £51,000) </w:t>
      </w:r>
      <w:r w:rsidRPr="00CC5C71">
        <w:rPr>
          <w:rFonts w:ascii="Arial" w:hAnsi="Arial" w:cs="Arial"/>
          <w:b/>
          <w:u w:val="single"/>
        </w:rPr>
        <w:t>for 2017/18:</w:t>
      </w:r>
    </w:p>
    <w:p w:rsidR="00962CA3" w:rsidRPr="00CC5C71" w:rsidRDefault="00962CA3" w:rsidP="00962CA3">
      <w:pPr>
        <w:rPr>
          <w:rFonts w:ascii="Arial" w:hAnsi="Arial" w:cs="Arial"/>
          <w:b/>
          <w:u w:val="single"/>
        </w:rPr>
      </w:pPr>
    </w:p>
    <w:p w:rsidR="00962CA3" w:rsidRDefault="00962CA3" w:rsidP="00962CA3">
      <w:pPr>
        <w:spacing w:line="240" w:lineRule="auto"/>
        <w:contextualSpacing/>
        <w:rPr>
          <w:rFonts w:ascii="Arial" w:hAnsi="Arial" w:cs="Arial"/>
        </w:rPr>
      </w:pPr>
      <w:r>
        <w:rPr>
          <w:rFonts w:ascii="Arial" w:hAnsi="Arial" w:cs="Arial"/>
        </w:rPr>
        <w:t>The hereditament’s RV as at 31/03/2017</w:t>
      </w:r>
      <w:r>
        <w:rPr>
          <w:rFonts w:ascii="Arial" w:hAnsi="Arial" w:cs="Arial"/>
        </w:rPr>
        <w:tab/>
        <w:t>=</w:t>
      </w:r>
      <w:r>
        <w:rPr>
          <w:rFonts w:ascii="Arial" w:hAnsi="Arial" w:cs="Arial"/>
        </w:rPr>
        <w:tab/>
        <w:t>£7,300.00</w:t>
      </w:r>
    </w:p>
    <w:p w:rsidR="00962CA3" w:rsidRDefault="00962CA3" w:rsidP="00962CA3">
      <w:pPr>
        <w:spacing w:line="240" w:lineRule="auto"/>
        <w:contextualSpacing/>
        <w:rPr>
          <w:rFonts w:ascii="Arial" w:hAnsi="Arial" w:cs="Arial"/>
        </w:rPr>
      </w:pPr>
      <w:r>
        <w:rPr>
          <w:rFonts w:ascii="Arial" w:hAnsi="Arial" w:cs="Arial"/>
        </w:rPr>
        <w:t>The hereditament’s RV as at 01/04/2017</w:t>
      </w:r>
      <w:r>
        <w:rPr>
          <w:rFonts w:ascii="Arial" w:hAnsi="Arial" w:cs="Arial"/>
        </w:rPr>
        <w:tab/>
        <w:t>=</w:t>
      </w:r>
      <w:r>
        <w:rPr>
          <w:rFonts w:ascii="Arial" w:hAnsi="Arial" w:cs="Arial"/>
        </w:rPr>
        <w:tab/>
        <w:t>£16,750.00</w:t>
      </w:r>
    </w:p>
    <w:p w:rsidR="00962CA3" w:rsidRDefault="00962CA3" w:rsidP="00962CA3">
      <w:pPr>
        <w:spacing w:line="240" w:lineRule="auto"/>
        <w:contextualSpacing/>
        <w:rPr>
          <w:rFonts w:ascii="Arial" w:hAnsi="Arial" w:cs="Arial"/>
        </w:rPr>
      </w:pPr>
      <w:r>
        <w:rPr>
          <w:rFonts w:ascii="Arial" w:hAnsi="Arial" w:cs="Arial"/>
        </w:rPr>
        <w:t>Non-domestic multiplier 2017/2018</w:t>
      </w:r>
      <w:r>
        <w:rPr>
          <w:rFonts w:ascii="Arial" w:hAnsi="Arial" w:cs="Arial"/>
        </w:rPr>
        <w:tab/>
      </w:r>
      <w:r>
        <w:rPr>
          <w:rFonts w:ascii="Arial" w:hAnsi="Arial" w:cs="Arial"/>
        </w:rPr>
        <w:tab/>
        <w:t>=</w:t>
      </w:r>
      <w:r>
        <w:rPr>
          <w:rFonts w:ascii="Arial" w:hAnsi="Arial" w:cs="Arial"/>
        </w:rPr>
        <w:tab/>
        <w:t>0.479</w:t>
      </w:r>
    </w:p>
    <w:p w:rsidR="00962CA3" w:rsidRDefault="00962CA3" w:rsidP="00962CA3">
      <w:pPr>
        <w:spacing w:line="240" w:lineRule="auto"/>
        <w:contextualSpacing/>
        <w:rPr>
          <w:rFonts w:ascii="Arial" w:hAnsi="Arial" w:cs="Arial"/>
        </w:rPr>
      </w:pPr>
      <w:r>
        <w:rPr>
          <w:rFonts w:ascii="Arial" w:hAnsi="Arial" w:cs="Arial"/>
        </w:rPr>
        <w:t>Small business multiplier 2017/2018</w:t>
      </w:r>
      <w:r>
        <w:rPr>
          <w:rFonts w:ascii="Arial" w:hAnsi="Arial" w:cs="Arial"/>
        </w:rPr>
        <w:tab/>
      </w:r>
      <w:r>
        <w:rPr>
          <w:rFonts w:ascii="Arial" w:hAnsi="Arial" w:cs="Arial"/>
        </w:rPr>
        <w:tab/>
        <w:t>=</w:t>
      </w:r>
      <w:r>
        <w:rPr>
          <w:rFonts w:ascii="Arial" w:hAnsi="Arial" w:cs="Arial"/>
        </w:rPr>
        <w:tab/>
        <w:t>0.466</w:t>
      </w:r>
    </w:p>
    <w:p w:rsidR="00962CA3" w:rsidRDefault="00962CA3" w:rsidP="00962CA3">
      <w:pPr>
        <w:spacing w:line="240" w:lineRule="auto"/>
        <w:contextualSpacing/>
        <w:rPr>
          <w:rFonts w:ascii="Arial" w:hAnsi="Arial" w:cs="Arial"/>
        </w:rPr>
      </w:pPr>
      <w:r>
        <w:rPr>
          <w:rFonts w:ascii="Arial" w:hAnsi="Arial" w:cs="Arial"/>
        </w:rPr>
        <w:t>Small business multiplier 2016/2017</w:t>
      </w:r>
      <w:r>
        <w:rPr>
          <w:rFonts w:ascii="Arial" w:hAnsi="Arial" w:cs="Arial"/>
        </w:rPr>
        <w:tab/>
      </w:r>
      <w:r>
        <w:rPr>
          <w:rFonts w:ascii="Arial" w:hAnsi="Arial" w:cs="Arial"/>
        </w:rPr>
        <w:tab/>
        <w:t>=</w:t>
      </w:r>
      <w:r>
        <w:rPr>
          <w:rFonts w:ascii="Arial" w:hAnsi="Arial" w:cs="Arial"/>
        </w:rPr>
        <w:tab/>
        <w:t>0.484</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Gross charge/</w:t>
      </w:r>
    </w:p>
    <w:p w:rsidR="00962CA3" w:rsidRDefault="00962CA3" w:rsidP="00962CA3">
      <w:pPr>
        <w:spacing w:line="240" w:lineRule="auto"/>
        <w:contextualSpacing/>
        <w:rPr>
          <w:rFonts w:ascii="Arial" w:hAnsi="Arial" w:cs="Arial"/>
        </w:rPr>
      </w:pPr>
      <w:r>
        <w:rPr>
          <w:rFonts w:ascii="Arial" w:hAnsi="Arial" w:cs="Arial"/>
        </w:rPr>
        <w:t>Notional chargeable amount</w:t>
      </w:r>
      <w:r>
        <w:rPr>
          <w:rFonts w:ascii="Arial" w:hAnsi="Arial" w:cs="Arial"/>
        </w:rPr>
        <w:tab/>
      </w:r>
      <w:r>
        <w:rPr>
          <w:rFonts w:ascii="Arial" w:hAnsi="Arial" w:cs="Arial"/>
        </w:rPr>
        <w:tab/>
        <w:t>=</w:t>
      </w:r>
      <w:r>
        <w:rPr>
          <w:rFonts w:ascii="Arial" w:hAnsi="Arial" w:cs="Arial"/>
        </w:rPr>
        <w:tab/>
        <w:t>Rateable value as at 01/04/2017 x 2017/18 small business multiplier</w:t>
      </w:r>
    </w:p>
    <w:p w:rsidR="00962CA3" w:rsidRDefault="00962CA3" w:rsidP="00962CA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£16,750.00 x 0.466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£7,805.50</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Base liability</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Rateable value as at 31/03/2017 x 2016/17 small business multiplier</w:t>
      </w:r>
    </w:p>
    <w:p w:rsidR="00962CA3" w:rsidRDefault="00962CA3" w:rsidP="00962CA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£7,300.00 x 0.484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£3,533.20</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Transitional limit</w:t>
      </w:r>
      <w:r>
        <w:rPr>
          <w:rFonts w:ascii="Arial" w:hAnsi="Arial" w:cs="Arial"/>
        </w:rPr>
        <w:tab/>
      </w:r>
      <w:r>
        <w:rPr>
          <w:rFonts w:ascii="Arial" w:hAnsi="Arial" w:cs="Arial"/>
        </w:rPr>
        <w:tab/>
      </w:r>
      <w:r>
        <w:rPr>
          <w:rFonts w:ascii="Arial" w:hAnsi="Arial" w:cs="Arial"/>
        </w:rPr>
        <w:tab/>
        <w:t>=</w:t>
      </w:r>
      <w:r>
        <w:rPr>
          <w:rFonts w:ascii="Arial" w:hAnsi="Arial" w:cs="Arial"/>
        </w:rPr>
        <w:tab/>
        <w:t>Base liability x Appropriate fraction (see notes)</w:t>
      </w:r>
    </w:p>
    <w:p w:rsidR="00962CA3" w:rsidRDefault="00962CA3" w:rsidP="00962CA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£3,533.20 x 1.071000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£3,784.06</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Transitional relief</w:t>
      </w:r>
      <w:r>
        <w:rPr>
          <w:rFonts w:ascii="Arial" w:hAnsi="Arial" w:cs="Arial"/>
        </w:rPr>
        <w:tab/>
      </w:r>
      <w:r>
        <w:rPr>
          <w:rFonts w:ascii="Arial" w:hAnsi="Arial" w:cs="Arial"/>
        </w:rPr>
        <w:tab/>
      </w:r>
      <w:r>
        <w:rPr>
          <w:rFonts w:ascii="Arial" w:hAnsi="Arial" w:cs="Arial"/>
        </w:rPr>
        <w:tab/>
        <w:t>=</w:t>
      </w:r>
      <w:r>
        <w:rPr>
          <w:rFonts w:ascii="Arial" w:hAnsi="Arial" w:cs="Arial"/>
        </w:rPr>
        <w:tab/>
        <w:t>Transitional limit - Notional chargeable amount</w:t>
      </w:r>
    </w:p>
    <w:p w:rsidR="00962CA3" w:rsidRDefault="00962CA3" w:rsidP="00962CA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£3,784.06 - £7,805.50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-£4,021.44</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Transitional chargeable amount</w:t>
      </w:r>
      <w:r>
        <w:rPr>
          <w:rFonts w:ascii="Arial" w:hAnsi="Arial" w:cs="Arial"/>
        </w:rPr>
        <w:tab/>
        <w:t>=</w:t>
      </w:r>
      <w:r>
        <w:rPr>
          <w:rFonts w:ascii="Arial" w:hAnsi="Arial" w:cs="Arial"/>
        </w:rPr>
        <w:tab/>
        <w:t xml:space="preserve">Gross charge/Notional chargeable amount + Transitional relief </w:t>
      </w:r>
    </w:p>
    <w:p w:rsidR="00962CA3" w:rsidRDefault="00962CA3" w:rsidP="00962CA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£7,805.50 + -£4,021.44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£3,784.06</w:t>
      </w:r>
    </w:p>
    <w:p w:rsidR="00962CA3" w:rsidRDefault="00962CA3" w:rsidP="00962CA3">
      <w:pPr>
        <w:spacing w:line="240" w:lineRule="auto"/>
        <w:contextualSpacing/>
        <w:rPr>
          <w:rFonts w:ascii="Arial" w:hAnsi="Arial" w:cs="Arial"/>
        </w:rPr>
      </w:pPr>
    </w:p>
    <w:p w:rsidR="00962CA3" w:rsidRDefault="00962CA3" w:rsidP="00962CA3">
      <w:pPr>
        <w:rPr>
          <w:rFonts w:ascii="Arial" w:hAnsi="Arial" w:cs="Arial"/>
          <w:b/>
        </w:rPr>
      </w:pPr>
      <w:r>
        <w:rPr>
          <w:rFonts w:ascii="Arial" w:hAnsi="Arial" w:cs="Arial"/>
          <w:b/>
        </w:rPr>
        <w:t>Total charge for 2017/18</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£3,784.06</w:t>
      </w:r>
    </w:p>
    <w:p w:rsidR="00962CA3" w:rsidRDefault="00962CA3" w:rsidP="00962CA3"/>
    <w:p w:rsidR="00962CA3" w:rsidRDefault="00962CA3" w:rsidP="00962CA3">
      <w:pPr>
        <w:rPr>
          <w:rFonts w:ascii="Arial" w:hAnsi="Arial" w:cs="Arial"/>
        </w:rPr>
      </w:pPr>
    </w:p>
    <w:p w:rsidR="00962CA3" w:rsidRDefault="00962CA3" w:rsidP="00962CA3">
      <w:pPr>
        <w:rPr>
          <w:rFonts w:ascii="Arial" w:hAnsi="Arial" w:cs="Arial"/>
        </w:rPr>
      </w:pPr>
    </w:p>
    <w:p w:rsidR="00962CA3" w:rsidRDefault="00962CA3" w:rsidP="00962CA3">
      <w:pPr>
        <w:rPr>
          <w:rFonts w:ascii="Arial" w:hAnsi="Arial" w:cs="Arial"/>
          <w:b/>
          <w:u w:val="single"/>
        </w:rPr>
      </w:pPr>
      <w:r w:rsidRPr="00CC5C71">
        <w:rPr>
          <w:rFonts w:ascii="Arial" w:hAnsi="Arial" w:cs="Arial"/>
          <w:b/>
          <w:u w:val="single"/>
        </w:rPr>
        <w:lastRenderedPageBreak/>
        <w:t xml:space="preserve">Example calculation for </w:t>
      </w:r>
      <w:r>
        <w:rPr>
          <w:rFonts w:ascii="Arial" w:hAnsi="Arial" w:cs="Arial"/>
          <w:b/>
          <w:u w:val="single"/>
        </w:rPr>
        <w:t xml:space="preserve">an unoccupied/charity </w:t>
      </w:r>
      <w:r w:rsidRPr="00CC5C71">
        <w:rPr>
          <w:rFonts w:ascii="Arial" w:hAnsi="Arial" w:cs="Arial"/>
          <w:b/>
          <w:u w:val="single"/>
        </w:rPr>
        <w:t xml:space="preserve">increasing RV </w:t>
      </w:r>
      <w:r>
        <w:rPr>
          <w:rFonts w:ascii="Arial" w:hAnsi="Arial" w:cs="Arial"/>
          <w:b/>
          <w:u w:val="single"/>
        </w:rPr>
        <w:t xml:space="preserve">(under £51,000) </w:t>
      </w:r>
      <w:r w:rsidRPr="00CC5C71">
        <w:rPr>
          <w:rFonts w:ascii="Arial" w:hAnsi="Arial" w:cs="Arial"/>
          <w:b/>
          <w:u w:val="single"/>
        </w:rPr>
        <w:t>for 2017/18:</w:t>
      </w:r>
    </w:p>
    <w:p w:rsidR="00962CA3" w:rsidRPr="00CC5C71" w:rsidRDefault="00962CA3" w:rsidP="00962CA3">
      <w:pPr>
        <w:rPr>
          <w:rFonts w:ascii="Arial" w:hAnsi="Arial" w:cs="Arial"/>
          <w:b/>
          <w:u w:val="single"/>
        </w:rPr>
      </w:pPr>
    </w:p>
    <w:p w:rsidR="00962CA3" w:rsidRDefault="00962CA3" w:rsidP="00962CA3">
      <w:pPr>
        <w:spacing w:line="240" w:lineRule="auto"/>
        <w:contextualSpacing/>
        <w:rPr>
          <w:rFonts w:ascii="Arial" w:hAnsi="Arial" w:cs="Arial"/>
        </w:rPr>
      </w:pPr>
      <w:r>
        <w:rPr>
          <w:rFonts w:ascii="Arial" w:hAnsi="Arial" w:cs="Arial"/>
        </w:rPr>
        <w:t>The hereditament’s RV as at 31/03/2017</w:t>
      </w:r>
      <w:r>
        <w:rPr>
          <w:rFonts w:ascii="Arial" w:hAnsi="Arial" w:cs="Arial"/>
        </w:rPr>
        <w:tab/>
        <w:t>=</w:t>
      </w:r>
      <w:r>
        <w:rPr>
          <w:rFonts w:ascii="Arial" w:hAnsi="Arial" w:cs="Arial"/>
        </w:rPr>
        <w:tab/>
        <w:t>£4,000.00</w:t>
      </w:r>
    </w:p>
    <w:p w:rsidR="00962CA3" w:rsidRDefault="00962CA3" w:rsidP="00962CA3">
      <w:pPr>
        <w:spacing w:line="240" w:lineRule="auto"/>
        <w:contextualSpacing/>
        <w:rPr>
          <w:rFonts w:ascii="Arial" w:hAnsi="Arial" w:cs="Arial"/>
        </w:rPr>
      </w:pPr>
      <w:r>
        <w:rPr>
          <w:rFonts w:ascii="Arial" w:hAnsi="Arial" w:cs="Arial"/>
        </w:rPr>
        <w:t>The hereditament’s RV as at 01/04/2017</w:t>
      </w:r>
      <w:r>
        <w:rPr>
          <w:rFonts w:ascii="Arial" w:hAnsi="Arial" w:cs="Arial"/>
        </w:rPr>
        <w:tab/>
        <w:t>=</w:t>
      </w:r>
      <w:r>
        <w:rPr>
          <w:rFonts w:ascii="Arial" w:hAnsi="Arial" w:cs="Arial"/>
        </w:rPr>
        <w:tab/>
        <w:t>£5,900.00</w:t>
      </w:r>
    </w:p>
    <w:p w:rsidR="00962CA3" w:rsidRDefault="00962CA3" w:rsidP="00962CA3">
      <w:pPr>
        <w:spacing w:line="240" w:lineRule="auto"/>
        <w:contextualSpacing/>
        <w:rPr>
          <w:rFonts w:ascii="Arial" w:hAnsi="Arial" w:cs="Arial"/>
        </w:rPr>
      </w:pPr>
      <w:r>
        <w:rPr>
          <w:rFonts w:ascii="Arial" w:hAnsi="Arial" w:cs="Arial"/>
        </w:rPr>
        <w:t>Non-domestic multiplier 2017/2018</w:t>
      </w:r>
      <w:r>
        <w:rPr>
          <w:rFonts w:ascii="Arial" w:hAnsi="Arial" w:cs="Arial"/>
        </w:rPr>
        <w:tab/>
      </w:r>
      <w:r>
        <w:rPr>
          <w:rFonts w:ascii="Arial" w:hAnsi="Arial" w:cs="Arial"/>
        </w:rPr>
        <w:tab/>
        <w:t>=</w:t>
      </w:r>
      <w:r>
        <w:rPr>
          <w:rFonts w:ascii="Arial" w:hAnsi="Arial" w:cs="Arial"/>
        </w:rPr>
        <w:tab/>
        <w:t>0.479</w:t>
      </w:r>
    </w:p>
    <w:p w:rsidR="00962CA3" w:rsidRDefault="00962CA3" w:rsidP="00962CA3">
      <w:pPr>
        <w:spacing w:line="240" w:lineRule="auto"/>
        <w:contextualSpacing/>
        <w:rPr>
          <w:rFonts w:ascii="Arial" w:hAnsi="Arial" w:cs="Arial"/>
        </w:rPr>
      </w:pPr>
      <w:r>
        <w:rPr>
          <w:rFonts w:ascii="Arial" w:hAnsi="Arial" w:cs="Arial"/>
        </w:rPr>
        <w:t>Small business multiplier 2017/2018</w:t>
      </w:r>
      <w:r>
        <w:rPr>
          <w:rFonts w:ascii="Arial" w:hAnsi="Arial" w:cs="Arial"/>
        </w:rPr>
        <w:tab/>
      </w:r>
      <w:r>
        <w:rPr>
          <w:rFonts w:ascii="Arial" w:hAnsi="Arial" w:cs="Arial"/>
        </w:rPr>
        <w:tab/>
        <w:t>=</w:t>
      </w:r>
      <w:r>
        <w:rPr>
          <w:rFonts w:ascii="Arial" w:hAnsi="Arial" w:cs="Arial"/>
        </w:rPr>
        <w:tab/>
        <w:t>0.466</w:t>
      </w:r>
    </w:p>
    <w:p w:rsidR="00962CA3" w:rsidRDefault="00962CA3" w:rsidP="00962CA3">
      <w:pPr>
        <w:spacing w:line="240" w:lineRule="auto"/>
        <w:contextualSpacing/>
        <w:rPr>
          <w:rFonts w:ascii="Arial" w:hAnsi="Arial" w:cs="Arial"/>
        </w:rPr>
      </w:pPr>
      <w:r>
        <w:rPr>
          <w:rFonts w:ascii="Arial" w:hAnsi="Arial" w:cs="Arial"/>
        </w:rPr>
        <w:t>Small business multiplier 2016/2017</w:t>
      </w:r>
      <w:r>
        <w:rPr>
          <w:rFonts w:ascii="Arial" w:hAnsi="Arial" w:cs="Arial"/>
        </w:rPr>
        <w:tab/>
      </w:r>
      <w:r>
        <w:rPr>
          <w:rFonts w:ascii="Arial" w:hAnsi="Arial" w:cs="Arial"/>
        </w:rPr>
        <w:tab/>
        <w:t>=</w:t>
      </w:r>
      <w:r>
        <w:rPr>
          <w:rFonts w:ascii="Arial" w:hAnsi="Arial" w:cs="Arial"/>
        </w:rPr>
        <w:tab/>
        <w:t>0.484</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Gross charge</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Rateable value as at 01/04/2017 x Non-domestic multiplier</w:t>
      </w:r>
    </w:p>
    <w:p w:rsidR="00962CA3" w:rsidRDefault="00962CA3" w:rsidP="00962CA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£5,900.00 x 0.479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£2,826.10</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Notional chargeable amount</w:t>
      </w:r>
      <w:r>
        <w:rPr>
          <w:rFonts w:ascii="Arial" w:hAnsi="Arial" w:cs="Arial"/>
        </w:rPr>
        <w:tab/>
      </w:r>
      <w:r>
        <w:rPr>
          <w:rFonts w:ascii="Arial" w:hAnsi="Arial" w:cs="Arial"/>
        </w:rPr>
        <w:tab/>
        <w:t>=</w:t>
      </w:r>
      <w:r>
        <w:rPr>
          <w:rFonts w:ascii="Arial" w:hAnsi="Arial" w:cs="Arial"/>
        </w:rPr>
        <w:tab/>
        <w:t>Rateable value as at 01/04/2017 x 2017/18 small business multiplier</w:t>
      </w:r>
    </w:p>
    <w:p w:rsidR="00962CA3" w:rsidRDefault="00962CA3" w:rsidP="00962CA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£5,900.00 x 0.466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£2,749.40</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Base liability</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Rateable value as at 31/03/2017 x 2016/17 small business multiplier</w:t>
      </w:r>
    </w:p>
    <w:p w:rsidR="00962CA3" w:rsidRDefault="00962CA3" w:rsidP="00962CA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£4,000.00 x 0.484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£1,936.00</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Transitional limit</w:t>
      </w:r>
      <w:r>
        <w:rPr>
          <w:rFonts w:ascii="Arial" w:hAnsi="Arial" w:cs="Arial"/>
        </w:rPr>
        <w:tab/>
      </w:r>
      <w:r>
        <w:rPr>
          <w:rFonts w:ascii="Arial" w:hAnsi="Arial" w:cs="Arial"/>
        </w:rPr>
        <w:tab/>
      </w:r>
      <w:r>
        <w:rPr>
          <w:rFonts w:ascii="Arial" w:hAnsi="Arial" w:cs="Arial"/>
        </w:rPr>
        <w:tab/>
        <w:t>=</w:t>
      </w:r>
      <w:r>
        <w:rPr>
          <w:rFonts w:ascii="Arial" w:hAnsi="Arial" w:cs="Arial"/>
        </w:rPr>
        <w:tab/>
        <w:t>Base liability x Appropriate fraction (see notes)</w:t>
      </w:r>
    </w:p>
    <w:p w:rsidR="00962CA3" w:rsidRDefault="00962CA3" w:rsidP="00962CA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£1,936.00 x 1.071000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£2,073.46</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Transitional relief</w:t>
      </w:r>
      <w:r>
        <w:rPr>
          <w:rFonts w:ascii="Arial" w:hAnsi="Arial" w:cs="Arial"/>
        </w:rPr>
        <w:tab/>
      </w:r>
      <w:r>
        <w:rPr>
          <w:rFonts w:ascii="Arial" w:hAnsi="Arial" w:cs="Arial"/>
        </w:rPr>
        <w:tab/>
      </w:r>
      <w:r>
        <w:rPr>
          <w:rFonts w:ascii="Arial" w:hAnsi="Arial" w:cs="Arial"/>
        </w:rPr>
        <w:tab/>
        <w:t>=</w:t>
      </w:r>
      <w:r>
        <w:rPr>
          <w:rFonts w:ascii="Arial" w:hAnsi="Arial" w:cs="Arial"/>
        </w:rPr>
        <w:tab/>
        <w:t>Transitional limit - Notional chargeable amount</w:t>
      </w:r>
    </w:p>
    <w:p w:rsidR="00962CA3" w:rsidRDefault="00962CA3" w:rsidP="00962CA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£2,073.46 - £2,749.40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-£675.94</w:t>
      </w:r>
    </w:p>
    <w:p w:rsidR="00962CA3" w:rsidRDefault="00962CA3" w:rsidP="00962CA3">
      <w:pPr>
        <w:spacing w:line="240" w:lineRule="auto"/>
        <w:contextualSpacing/>
        <w:rPr>
          <w:rFonts w:ascii="Arial" w:hAnsi="Arial" w:cs="Arial"/>
        </w:rPr>
      </w:pPr>
    </w:p>
    <w:p w:rsidR="00962CA3" w:rsidRDefault="00962CA3" w:rsidP="00962CA3">
      <w:pPr>
        <w:spacing w:line="240" w:lineRule="auto"/>
        <w:contextualSpacing/>
        <w:rPr>
          <w:rFonts w:ascii="Arial" w:hAnsi="Arial" w:cs="Arial"/>
        </w:rPr>
      </w:pPr>
      <w:r>
        <w:rPr>
          <w:rFonts w:ascii="Arial" w:hAnsi="Arial" w:cs="Arial"/>
        </w:rPr>
        <w:t>Transitional chargeable amount</w:t>
      </w:r>
      <w:r>
        <w:rPr>
          <w:rFonts w:ascii="Arial" w:hAnsi="Arial" w:cs="Arial"/>
        </w:rPr>
        <w:tab/>
        <w:t>=</w:t>
      </w:r>
      <w:r>
        <w:rPr>
          <w:rFonts w:ascii="Arial" w:hAnsi="Arial" w:cs="Arial"/>
        </w:rPr>
        <w:tab/>
        <w:t>Gross charge amount + Transitional relief</w:t>
      </w:r>
    </w:p>
    <w:p w:rsidR="00962CA3" w:rsidRDefault="00962CA3" w:rsidP="00962CA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£2,826.10 + -£675.94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£2,150.16</w:t>
      </w:r>
    </w:p>
    <w:p w:rsidR="00962CA3" w:rsidRDefault="00962CA3" w:rsidP="00962CA3">
      <w:pPr>
        <w:spacing w:line="240" w:lineRule="auto"/>
        <w:contextualSpacing/>
        <w:rPr>
          <w:rFonts w:ascii="Arial" w:hAnsi="Arial" w:cs="Arial"/>
        </w:rPr>
      </w:pPr>
    </w:p>
    <w:p w:rsidR="00962CA3" w:rsidRDefault="00962CA3" w:rsidP="00962CA3">
      <w:pPr>
        <w:rPr>
          <w:rFonts w:ascii="Arial" w:hAnsi="Arial" w:cs="Arial"/>
          <w:b/>
        </w:rPr>
      </w:pPr>
      <w:r>
        <w:rPr>
          <w:rFonts w:ascii="Arial" w:hAnsi="Arial" w:cs="Arial"/>
          <w:b/>
        </w:rPr>
        <w:t>Total charge for 2017/18</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£2,150.16</w:t>
      </w:r>
    </w:p>
    <w:p w:rsidR="00962CA3" w:rsidRPr="00962CA3" w:rsidRDefault="00962CA3" w:rsidP="00962CA3">
      <w:pPr>
        <w:rPr>
          <w:rFonts w:ascii="Arial" w:hAnsi="Arial" w:cs="Arial"/>
        </w:rPr>
      </w:pPr>
    </w:p>
    <w:p w:rsidR="00962CA3" w:rsidRPr="00962CA3" w:rsidRDefault="00962CA3" w:rsidP="00962CA3">
      <w:pPr>
        <w:jc w:val="center"/>
        <w:rPr>
          <w:rFonts w:ascii="Arial" w:hAnsi="Arial" w:cs="Arial"/>
          <w:sz w:val="40"/>
          <w:szCs w:val="40"/>
        </w:rPr>
      </w:pPr>
    </w:p>
    <w:sectPr w:rsidR="00962CA3" w:rsidRPr="00962CA3" w:rsidSect="00484569">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50996"/>
    <w:multiLevelType w:val="hybridMultilevel"/>
    <w:tmpl w:val="E0D867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6FC24428"/>
    <w:multiLevelType w:val="hybridMultilevel"/>
    <w:tmpl w:val="E86C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A3"/>
    <w:rsid w:val="003713DD"/>
    <w:rsid w:val="00426947"/>
    <w:rsid w:val="00484569"/>
    <w:rsid w:val="00692ABC"/>
    <w:rsid w:val="00711BEB"/>
    <w:rsid w:val="007C1CFC"/>
    <w:rsid w:val="00962CA3"/>
    <w:rsid w:val="009B3D51"/>
    <w:rsid w:val="00AF0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CA3"/>
    <w:pPr>
      <w:ind w:left="720"/>
      <w:contextualSpacing/>
    </w:pPr>
  </w:style>
  <w:style w:type="table" w:styleId="TableGrid">
    <w:name w:val="Table Grid"/>
    <w:basedOn w:val="TableNormal"/>
    <w:uiPriority w:val="59"/>
    <w:rsid w:val="0096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C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CA3"/>
    <w:pPr>
      <w:ind w:left="720"/>
      <w:contextualSpacing/>
    </w:pPr>
  </w:style>
  <w:style w:type="table" w:styleId="TableGrid">
    <w:name w:val="Table Grid"/>
    <w:basedOn w:val="TableNormal"/>
    <w:uiPriority w:val="59"/>
    <w:rsid w:val="0096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introduction-to-business-rates/revaluation" TargetMode="External"/><Relationship Id="rId3" Type="http://schemas.microsoft.com/office/2007/relationships/stylesWithEffects" Target="stylesWithEffects.xml"/><Relationship Id="rId7" Type="http://schemas.openxmlformats.org/officeDocument/2006/relationships/hyperlink" Target="http://www.tameside.gov.uk/business/r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Catherall</dc:creator>
  <cp:lastModifiedBy>Lucy Catherall</cp:lastModifiedBy>
  <cp:revision>2</cp:revision>
  <dcterms:created xsi:type="dcterms:W3CDTF">2017-03-06T12:15:00Z</dcterms:created>
  <dcterms:modified xsi:type="dcterms:W3CDTF">2017-03-06T12:15:00Z</dcterms:modified>
</cp:coreProperties>
</file>