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39" w:rsidRPr="00CD6405" w:rsidRDefault="00966B39" w:rsidP="00966B39">
      <w:pPr>
        <w:pStyle w:val="Heading1"/>
        <w:spacing w:before="150" w:beforeAutospacing="0" w:after="150" w:afterAutospacing="0"/>
        <w:rPr>
          <w:rFonts w:asciiTheme="minorHAnsi" w:eastAsia="Times New Roman" w:hAnsiTheme="minorHAnsi" w:cstheme="minorHAnsi"/>
          <w:color w:val="000000"/>
          <w:sz w:val="38"/>
          <w:szCs w:val="38"/>
        </w:rPr>
      </w:pPr>
      <w:r w:rsidRPr="00CD6405">
        <w:rPr>
          <w:rFonts w:asciiTheme="minorHAnsi" w:eastAsia="Times New Roman" w:hAnsiTheme="minorHAnsi" w:cstheme="minorHAnsi"/>
          <w:color w:val="000000"/>
          <w:sz w:val="38"/>
          <w:szCs w:val="38"/>
        </w:rPr>
        <w:t xml:space="preserve">Meeting the Public Sector Apprenticeship Target </w:t>
      </w:r>
    </w:p>
    <w:p w:rsidR="00966B39" w:rsidRPr="00CD6405" w:rsidRDefault="00966B39" w:rsidP="00966B39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 w:rsidRPr="00CD6405">
        <w:rPr>
          <w:rFonts w:asciiTheme="minorHAnsi" w:hAnsiTheme="minorHAnsi" w:cstheme="minorHAnsi"/>
        </w:rPr>
        <w:t xml:space="preserve">Public sector organisations with 250 or more staff have been set a target by the Government to have an average of at least 2.3% of their workforce as new apprentice starts each year.  </w:t>
      </w:r>
    </w:p>
    <w:p w:rsidR="00966B39" w:rsidRPr="00966B39" w:rsidRDefault="00966B39" w:rsidP="00CD6405">
      <w:pPr>
        <w:pStyle w:val="Heading2"/>
        <w:shd w:val="clear" w:color="auto" w:fill="BDD6EE" w:themeFill="accent1" w:themeFillTint="66"/>
        <w:spacing w:before="0" w:beforeAutospacing="0" w:after="150" w:afterAutospacing="0"/>
        <w:rPr>
          <w:rFonts w:asciiTheme="minorHAnsi" w:eastAsia="Times New Roman" w:hAnsiTheme="minorHAnsi" w:cstheme="minorHAnsi"/>
          <w:color w:val="2E74B5" w:themeColor="accent1" w:themeShade="BF"/>
          <w:sz w:val="32"/>
          <w:szCs w:val="32"/>
        </w:rPr>
      </w:pPr>
      <w:r w:rsidRPr="00966B39">
        <w:rPr>
          <w:rFonts w:asciiTheme="minorHAnsi" w:eastAsia="Times New Roman" w:hAnsiTheme="minorHAnsi" w:cstheme="minorHAnsi"/>
          <w:color w:val="2E74B5" w:themeColor="accent1" w:themeShade="BF"/>
          <w:sz w:val="32"/>
          <w:szCs w:val="32"/>
        </w:rPr>
        <w:t>1. Data Publication - Public Sector Duty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4"/>
        <w:gridCol w:w="1341"/>
        <w:gridCol w:w="1326"/>
        <w:gridCol w:w="1355"/>
        <w:gridCol w:w="1241"/>
        <w:gridCol w:w="1151"/>
      </w:tblGrid>
      <w:tr w:rsidR="004E06EC" w:rsidTr="004E06EC">
        <w:trPr>
          <w:tblHeader/>
        </w:trPr>
        <w:tc>
          <w:tcPr>
            <w:tcW w:w="7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vAlign w:val="center"/>
            <w:hideMark/>
          </w:tcPr>
          <w:p w:rsidR="004E06EC" w:rsidRPr="00966B39" w:rsidRDefault="004E06EC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966B39">
              <w:rPr>
                <w:rFonts w:asciiTheme="minorHAnsi" w:hAnsiTheme="minorHAnsi" w:cstheme="minorHAnsi"/>
                <w:b/>
                <w:bCs/>
                <w:lang w:eastAsia="en-US"/>
              </w:rPr>
              <w:t>Tameside MBC Council Reporting percentages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vAlign w:val="center"/>
            <w:hideMark/>
          </w:tcPr>
          <w:p w:rsidR="004E06EC" w:rsidRPr="00966B39" w:rsidRDefault="004E06EC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966B39">
              <w:rPr>
                <w:rFonts w:asciiTheme="minorHAnsi" w:hAnsiTheme="minorHAnsi" w:cstheme="minorHAnsi"/>
                <w:b/>
                <w:bCs/>
                <w:lang w:eastAsia="en-US"/>
              </w:rPr>
              <w:t>2017-2018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vAlign w:val="center"/>
            <w:hideMark/>
          </w:tcPr>
          <w:p w:rsidR="004E06EC" w:rsidRPr="00966B39" w:rsidRDefault="004E06EC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966B39">
              <w:rPr>
                <w:rFonts w:asciiTheme="minorHAnsi" w:hAnsiTheme="minorHAnsi" w:cstheme="minorHAnsi"/>
                <w:b/>
                <w:bCs/>
                <w:lang w:eastAsia="en-US"/>
              </w:rPr>
              <w:t>2018-2019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vAlign w:val="center"/>
            <w:hideMark/>
          </w:tcPr>
          <w:p w:rsidR="004E06EC" w:rsidRPr="00966B39" w:rsidRDefault="004E06EC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966B39">
              <w:rPr>
                <w:rFonts w:asciiTheme="minorHAnsi" w:hAnsiTheme="minorHAnsi" w:cstheme="minorHAnsi"/>
                <w:b/>
                <w:bCs/>
                <w:lang w:eastAsia="en-US"/>
              </w:rPr>
              <w:t>2019-2020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</w:tcPr>
          <w:p w:rsidR="004E06EC" w:rsidRPr="00966B39" w:rsidRDefault="004E06EC" w:rsidP="004E06EC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2020-2021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</w:tcPr>
          <w:p w:rsidR="004E06EC" w:rsidRDefault="004E06EC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2021-2022</w:t>
            </w:r>
          </w:p>
        </w:tc>
      </w:tr>
      <w:tr w:rsidR="004E06EC" w:rsidTr="004E06EC">
        <w:tc>
          <w:tcPr>
            <w:tcW w:w="7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6EC" w:rsidRPr="00966B39" w:rsidRDefault="004E06EC" w:rsidP="00D567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 w:rsidRPr="00966B39">
              <w:rPr>
                <w:rFonts w:asciiTheme="minorHAnsi" w:hAnsiTheme="minorHAnsi" w:cstheme="minorHAnsi"/>
                <w:lang w:eastAsia="en-US"/>
              </w:rPr>
              <w:t>Percentage of apprenticeship starts (both new hires and existing employees who started an apprenticeship) as a proportion of employment starts between 1 April to 31 March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EC" w:rsidRPr="004946E8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946E8">
              <w:rPr>
                <w:rFonts w:asciiTheme="minorHAnsi" w:hAnsiTheme="minorHAnsi" w:cstheme="minorHAnsi"/>
                <w:lang w:eastAsia="en-US"/>
              </w:rPr>
              <w:t>10.2%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6EC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4E06EC" w:rsidRPr="004946E8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946E8">
              <w:rPr>
                <w:rFonts w:asciiTheme="minorHAnsi" w:hAnsiTheme="minorHAnsi" w:cstheme="minorHAnsi"/>
                <w:lang w:eastAsia="en-US"/>
              </w:rPr>
              <w:t>7.81%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6EC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4E06EC" w:rsidRPr="004946E8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946E8">
              <w:rPr>
                <w:rFonts w:asciiTheme="minorHAnsi" w:hAnsiTheme="minorHAnsi" w:cstheme="minorHAnsi"/>
                <w:lang w:eastAsia="en-US"/>
              </w:rPr>
              <w:t>12.13%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06EC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4E06EC" w:rsidRPr="004946E8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10.87%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4E06EC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4E06EC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10.28%</w:t>
            </w:r>
          </w:p>
        </w:tc>
      </w:tr>
      <w:tr w:rsidR="004E06EC" w:rsidTr="004E06EC">
        <w:tc>
          <w:tcPr>
            <w:tcW w:w="7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6EC" w:rsidRPr="00966B39" w:rsidRDefault="004E06EC" w:rsidP="00D567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 w:rsidRPr="00966B39">
              <w:rPr>
                <w:rFonts w:asciiTheme="minorHAnsi" w:hAnsiTheme="minorHAnsi" w:cstheme="minorHAnsi"/>
                <w:lang w:eastAsia="en-US"/>
              </w:rPr>
              <w:t>Percentage of total headcount that were apprentices on 31 March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EC" w:rsidRPr="004946E8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946E8">
              <w:rPr>
                <w:rFonts w:asciiTheme="minorHAnsi" w:hAnsiTheme="minorHAnsi" w:cstheme="minorHAnsi"/>
                <w:lang w:eastAsia="en-US"/>
              </w:rPr>
              <w:t>1.51%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6EC" w:rsidRPr="004946E8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946E8">
              <w:rPr>
                <w:rFonts w:asciiTheme="minorHAnsi" w:hAnsiTheme="minorHAnsi" w:cstheme="minorHAnsi"/>
                <w:lang w:eastAsia="en-US"/>
              </w:rPr>
              <w:t>1.43%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6EC" w:rsidRPr="004946E8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946E8">
              <w:rPr>
                <w:rFonts w:asciiTheme="minorHAnsi" w:hAnsiTheme="minorHAnsi" w:cstheme="minorHAnsi"/>
                <w:lang w:eastAsia="en-US"/>
              </w:rPr>
              <w:t>2.67%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06EC" w:rsidRPr="004946E8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2.89%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4E06EC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3.11%</w:t>
            </w:r>
          </w:p>
        </w:tc>
      </w:tr>
      <w:tr w:rsidR="004E06EC" w:rsidTr="004E06EC">
        <w:tc>
          <w:tcPr>
            <w:tcW w:w="7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6EC" w:rsidRPr="00966B39" w:rsidRDefault="004E06EC" w:rsidP="00D567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 w:rsidRPr="00966B39">
              <w:rPr>
                <w:rFonts w:asciiTheme="minorHAnsi" w:hAnsiTheme="minorHAnsi" w:cstheme="minorHAnsi"/>
                <w:lang w:eastAsia="en-US"/>
              </w:rPr>
              <w:t>Percentage of apprenticeship starts (both new hires and existing employees who started an apprenticeship) between 1 April to 31 March as a proportion of total headcount on 31 March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EC" w:rsidRPr="004946E8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946E8">
              <w:rPr>
                <w:rFonts w:asciiTheme="minorHAnsi" w:hAnsiTheme="minorHAnsi" w:cstheme="minorHAnsi"/>
                <w:lang w:eastAsia="en-US"/>
              </w:rPr>
              <w:t>1.23%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6EC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4E06EC" w:rsidRPr="004946E8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946E8">
              <w:rPr>
                <w:rFonts w:asciiTheme="minorHAnsi" w:hAnsiTheme="minorHAnsi" w:cstheme="minorHAnsi"/>
                <w:lang w:eastAsia="en-US"/>
              </w:rPr>
              <w:t>1.10%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6EC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4E06EC" w:rsidRPr="004946E8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946E8">
              <w:rPr>
                <w:rFonts w:asciiTheme="minorHAnsi" w:hAnsiTheme="minorHAnsi" w:cstheme="minorHAnsi"/>
                <w:lang w:eastAsia="en-US"/>
              </w:rPr>
              <w:t>1.95%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06EC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4E06EC" w:rsidRPr="004946E8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1.11%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4E06EC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4E06EC" w:rsidRDefault="004E06EC" w:rsidP="00D567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1.35%</w:t>
            </w:r>
          </w:p>
        </w:tc>
      </w:tr>
    </w:tbl>
    <w:p w:rsidR="00966B39" w:rsidRDefault="00966B39" w:rsidP="00966B39">
      <w:pPr>
        <w:pStyle w:val="NormalWeb"/>
        <w:spacing w:before="0" w:beforeAutospacing="0" w:after="150" w:afterAutospacing="0"/>
        <w:rPr>
          <w:rFonts w:ascii="&amp;quot" w:hAnsi="&amp;quot"/>
          <w:color w:val="6F6F6E"/>
          <w:sz w:val="21"/>
          <w:szCs w:val="21"/>
        </w:rPr>
      </w:pPr>
      <w:r>
        <w:rPr>
          <w:rFonts w:ascii="&amp;quot" w:hAnsi="&amp;quot"/>
          <w:color w:val="6F6F6E"/>
          <w:sz w:val="21"/>
          <w:szCs w:val="21"/>
        </w:rPr>
        <w:t> </w:t>
      </w:r>
    </w:p>
    <w:p w:rsidR="00966B39" w:rsidRDefault="00966B39" w:rsidP="00CD6405">
      <w:pPr>
        <w:pStyle w:val="Heading2"/>
        <w:shd w:val="clear" w:color="auto" w:fill="BDD6EE" w:themeFill="accent1" w:themeFillTint="66"/>
        <w:spacing w:before="0" w:beforeAutospacing="0" w:after="150" w:afterAutospacing="0"/>
        <w:rPr>
          <w:rFonts w:asciiTheme="minorHAnsi" w:eastAsia="Times New Roman" w:hAnsiTheme="minorHAnsi" w:cstheme="minorHAnsi"/>
          <w:color w:val="2E74B5" w:themeColor="accent1" w:themeShade="BF"/>
          <w:sz w:val="32"/>
          <w:szCs w:val="32"/>
        </w:rPr>
      </w:pPr>
      <w:r w:rsidRPr="00966B39">
        <w:rPr>
          <w:rFonts w:asciiTheme="minorHAnsi" w:eastAsia="Times New Roman" w:hAnsiTheme="minorHAnsi" w:cstheme="minorHAnsi"/>
          <w:color w:val="2E74B5" w:themeColor="accent1" w:themeShade="BF"/>
          <w:sz w:val="32"/>
          <w:szCs w:val="32"/>
        </w:rPr>
        <w:t>2.  Actions taken towards meeting the Public Sector Duty Target</w:t>
      </w:r>
    </w:p>
    <w:p w:rsidR="004946E8" w:rsidRPr="00CD6405" w:rsidRDefault="004946E8" w:rsidP="004946E8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color w:val="2E74B5" w:themeColor="accent1" w:themeShade="BF"/>
          <w:sz w:val="24"/>
          <w:szCs w:val="24"/>
        </w:rPr>
      </w:pPr>
      <w:r w:rsidRPr="00CD6405">
        <w:rPr>
          <w:rFonts w:asciiTheme="minorHAnsi" w:eastAsia="Times New Roman" w:hAnsiTheme="minorHAnsi" w:cstheme="minorHAnsi"/>
          <w:color w:val="2E74B5" w:themeColor="accent1" w:themeShade="BF"/>
          <w:sz w:val="24"/>
          <w:szCs w:val="24"/>
        </w:rPr>
        <w:t>Here are some of the actions we have taken this year to meet the target:</w:t>
      </w:r>
    </w:p>
    <w:p w:rsidR="00D42660" w:rsidRPr="00835B3C" w:rsidRDefault="00D42660" w:rsidP="00D42660">
      <w:pPr>
        <w:pStyle w:val="Heading2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Working collaboratively and supporting recruitment and retention activity has seen the introduction of social work apprenticeships within both Children’s and Adults service areas. </w:t>
      </w:r>
      <w:r w:rsidR="000B594A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>The first cohort has recently graduated</w:t>
      </w:r>
      <w:r w:rsidR="007164A4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as qualified social workers</w:t>
      </w:r>
      <w:r w:rsidR="000B594A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and we have two ongoing cohorts.  A fourth cohort is currently being arranged </w:t>
      </w:r>
      <w:r w:rsidR="007164A4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for commencement in March 2023 and we plan to have another cohort start in Sept 2023. </w:t>
      </w:r>
    </w:p>
    <w:p w:rsidR="00D5671A" w:rsidRPr="00835B3C" w:rsidRDefault="00D5671A" w:rsidP="003511E1">
      <w:pPr>
        <w:pStyle w:val="Heading2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>We</w:t>
      </w:r>
      <w:r w:rsidR="00D42660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designed and delivered a collaborative Public Sector Leadership Apprenticeship programme with Salford City Council and launched th</w:t>
      </w:r>
      <w:r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>e first cohort in February 2020.</w:t>
      </w:r>
      <w:r w:rsidR="000B594A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Of the completion</w:t>
      </w:r>
      <w:r w:rsidR="00F9008C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>s we have received so far we have a</w:t>
      </w:r>
      <w:r w:rsidR="000B594A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78% distinction outcome.  </w:t>
      </w:r>
      <w:r w:rsidR="00D42660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0B594A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We are now preparing for the start of our fourth cohort in October 2022. </w:t>
      </w:r>
    </w:p>
    <w:p w:rsidR="00D42660" w:rsidRPr="00835B3C" w:rsidRDefault="00D42660" w:rsidP="003511E1">
      <w:pPr>
        <w:pStyle w:val="Heading2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We are working with a wider base of providers and have built excellent contract monitoring relationships to ensure our apprentices keep on track and </w:t>
      </w:r>
      <w:r w:rsidR="00F9008C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>complete their apprenticeship.</w:t>
      </w:r>
    </w:p>
    <w:p w:rsidR="00835B3C" w:rsidRDefault="00D42660" w:rsidP="00835B3C">
      <w:pPr>
        <w:pStyle w:val="Heading2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>We continue to 'grow our own' and provide apprentice opportunities for existing employees aligned to skills development and wo</w:t>
      </w:r>
      <w:r w:rsidR="00C220B8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rkforce planning requirements. </w:t>
      </w:r>
    </w:p>
    <w:p w:rsidR="008F483A" w:rsidRPr="00835B3C" w:rsidRDefault="008F483A" w:rsidP="00835B3C">
      <w:pPr>
        <w:pStyle w:val="Heading2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We proactively work with services and schools to identify new and creative opportunities for career development within their teams and have introduced specialist higher level standards in IT and introduced Level 6 teacher in a number of schools in the borough. </w:t>
      </w:r>
    </w:p>
    <w:p w:rsidR="00D42660" w:rsidRPr="00835B3C" w:rsidRDefault="00D42660" w:rsidP="00D42660">
      <w:pPr>
        <w:pStyle w:val="Heading2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lastRenderedPageBreak/>
        <w:t>We endeavour to support our apprentices to either the next level of apprenticeship</w:t>
      </w:r>
      <w:r w:rsidR="00CD6405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>,</w:t>
      </w:r>
      <w:r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or to attain permanent employment wherever possible.  </w:t>
      </w:r>
    </w:p>
    <w:p w:rsidR="00A3091E" w:rsidRPr="00835B3C" w:rsidRDefault="00A3091E" w:rsidP="00D42660">
      <w:pPr>
        <w:pStyle w:val="Heading2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>We have developed additional resources to support managers in their role with supporting apprentices and to reinfor</w:t>
      </w:r>
      <w:r w:rsidR="00835B3C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ce organisational expectations and improve the experience for the apprentice. </w:t>
      </w:r>
    </w:p>
    <w:p w:rsidR="00D42660" w:rsidRPr="00835B3C" w:rsidRDefault="00D42660" w:rsidP="00D42660">
      <w:pPr>
        <w:pStyle w:val="Heading2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We have </w:t>
      </w:r>
      <w:r w:rsidR="00D5671A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supported local schools with the recruitment of new apprentices, utilising relationships with training providers to </w:t>
      </w:r>
      <w:r w:rsidR="006E2E39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>support in matching apprenticeships to upcoming vacancies and maximising exp</w:t>
      </w:r>
      <w:r w:rsidR="00A3091E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>osure on recruitment campaigns.</w:t>
      </w:r>
    </w:p>
    <w:p w:rsidR="00D42660" w:rsidRPr="00835B3C" w:rsidRDefault="00C220B8" w:rsidP="00D42660">
      <w:pPr>
        <w:pStyle w:val="Heading2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>Five</w:t>
      </w:r>
      <w:r w:rsidR="006E2E39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apprenticeship opportunities are ring-fenced to </w:t>
      </w:r>
      <w:r w:rsidR="00D42660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>Looked after Children /</w:t>
      </w:r>
      <w:r w:rsidR="00CD6405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6E2E39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>Care Leavers.</w:t>
      </w:r>
    </w:p>
    <w:p w:rsidR="00A3091E" w:rsidRPr="00835B3C" w:rsidRDefault="00D42660" w:rsidP="00A3091E">
      <w:pPr>
        <w:pStyle w:val="Heading2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>We continue to work as part of the Greater Manchester collaboration</w:t>
      </w:r>
      <w:r w:rsidR="00CD6405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>,</w:t>
      </w:r>
      <w:r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sharing good practice around apprenticeship procurement, </w:t>
      </w:r>
      <w:r w:rsidR="00A3091E"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collaboration, </w:t>
      </w:r>
      <w:r w:rsidRPr="00835B3C">
        <w:rPr>
          <w:rFonts w:asciiTheme="minorHAnsi" w:eastAsia="Times New Roman" w:hAnsiTheme="minorHAnsi" w:cstheme="minorHAnsi"/>
          <w:b w:val="0"/>
          <w:sz w:val="24"/>
          <w:szCs w:val="24"/>
        </w:rPr>
        <w:t>recruitment, retention and additional support provided to apprentices.</w:t>
      </w:r>
    </w:p>
    <w:p w:rsidR="004946E8" w:rsidRPr="00835B3C" w:rsidRDefault="004946E8" w:rsidP="004946E8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b w:val="0"/>
          <w:color w:val="2E74B5" w:themeColor="accent1" w:themeShade="BF"/>
          <w:sz w:val="24"/>
          <w:szCs w:val="24"/>
        </w:rPr>
      </w:pPr>
    </w:p>
    <w:p w:rsidR="004946E8" w:rsidRPr="00835B3C" w:rsidRDefault="00D42660" w:rsidP="004946E8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color w:val="2E74B5" w:themeColor="accent1" w:themeShade="BF"/>
          <w:sz w:val="24"/>
          <w:szCs w:val="24"/>
        </w:rPr>
      </w:pPr>
      <w:bookmarkStart w:id="0" w:name="_GoBack"/>
      <w:r w:rsidRPr="00835B3C">
        <w:rPr>
          <w:rFonts w:asciiTheme="minorHAnsi" w:eastAsia="Times New Roman" w:hAnsiTheme="minorHAnsi" w:cstheme="minorHAnsi"/>
          <w:color w:val="2E74B5" w:themeColor="accent1" w:themeShade="BF"/>
          <w:sz w:val="24"/>
          <w:szCs w:val="24"/>
        </w:rPr>
        <w:t>Here are some of the things we will do in the future to meet the target:</w:t>
      </w:r>
    </w:p>
    <w:p w:rsidR="00D42660" w:rsidRPr="00835B3C" w:rsidRDefault="00D42660" w:rsidP="00D4266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5B3C">
        <w:rPr>
          <w:rFonts w:asciiTheme="minorHAnsi" w:hAnsiTheme="minorHAnsi" w:cstheme="minorHAnsi"/>
          <w:sz w:val="24"/>
          <w:szCs w:val="24"/>
        </w:rPr>
        <w:t xml:space="preserve">A refreshed </w:t>
      </w:r>
      <w:r w:rsidR="00CD6405" w:rsidRPr="00835B3C">
        <w:rPr>
          <w:rFonts w:asciiTheme="minorHAnsi" w:hAnsiTheme="minorHAnsi" w:cstheme="minorHAnsi"/>
          <w:sz w:val="24"/>
          <w:szCs w:val="24"/>
        </w:rPr>
        <w:t>Apprentice S</w:t>
      </w:r>
      <w:r w:rsidRPr="00835B3C">
        <w:rPr>
          <w:rFonts w:asciiTheme="minorHAnsi" w:hAnsiTheme="minorHAnsi" w:cstheme="minorHAnsi"/>
          <w:sz w:val="24"/>
          <w:szCs w:val="24"/>
        </w:rPr>
        <w:t xml:space="preserve">trategy is </w:t>
      </w:r>
      <w:r w:rsidR="00CD6405" w:rsidRPr="00835B3C">
        <w:rPr>
          <w:rFonts w:asciiTheme="minorHAnsi" w:hAnsiTheme="minorHAnsi" w:cstheme="minorHAnsi"/>
          <w:sz w:val="24"/>
          <w:szCs w:val="24"/>
        </w:rPr>
        <w:t>in</w:t>
      </w:r>
      <w:r w:rsidRPr="00835B3C">
        <w:rPr>
          <w:rFonts w:asciiTheme="minorHAnsi" w:hAnsiTheme="minorHAnsi" w:cstheme="minorHAnsi"/>
          <w:sz w:val="24"/>
          <w:szCs w:val="24"/>
        </w:rPr>
        <w:t xml:space="preserve"> development</w:t>
      </w:r>
      <w:r w:rsidR="00CD6405" w:rsidRPr="00835B3C">
        <w:rPr>
          <w:rFonts w:asciiTheme="minorHAnsi" w:hAnsiTheme="minorHAnsi" w:cstheme="minorHAnsi"/>
          <w:sz w:val="24"/>
          <w:szCs w:val="24"/>
        </w:rPr>
        <w:t>,</w:t>
      </w:r>
      <w:r w:rsidRPr="00835B3C">
        <w:rPr>
          <w:rFonts w:asciiTheme="minorHAnsi" w:hAnsiTheme="minorHAnsi" w:cstheme="minorHAnsi"/>
          <w:sz w:val="24"/>
          <w:szCs w:val="24"/>
        </w:rPr>
        <w:t xml:space="preserve"> and will offer the opportunity for the Council to provi</w:t>
      </w:r>
      <w:r w:rsidR="00CD6405" w:rsidRPr="00835B3C">
        <w:rPr>
          <w:rFonts w:asciiTheme="minorHAnsi" w:hAnsiTheme="minorHAnsi" w:cstheme="minorHAnsi"/>
          <w:sz w:val="24"/>
          <w:szCs w:val="24"/>
        </w:rPr>
        <w:t>de routes into the organisation;</w:t>
      </w:r>
      <w:r w:rsidRPr="00835B3C">
        <w:rPr>
          <w:rFonts w:asciiTheme="minorHAnsi" w:hAnsiTheme="minorHAnsi" w:cstheme="minorHAnsi"/>
          <w:sz w:val="24"/>
          <w:szCs w:val="24"/>
        </w:rPr>
        <w:t xml:space="preserve"> as well as enable our existing workforce to undertake relevant apprenticeship qualifications aligned to current and future skills need.  </w:t>
      </w:r>
    </w:p>
    <w:p w:rsidR="00C220B8" w:rsidRPr="00835B3C" w:rsidRDefault="00D42660" w:rsidP="00C220B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5B3C">
        <w:rPr>
          <w:rFonts w:asciiTheme="minorHAnsi" w:hAnsiTheme="minorHAnsi" w:cstheme="minorHAnsi"/>
          <w:sz w:val="24"/>
          <w:szCs w:val="24"/>
        </w:rPr>
        <w:t>We will continue to use apprenticeships to grow our talent and use strategic workforce planning to ensure the Council has the skills needed to deliver s</w:t>
      </w:r>
      <w:r w:rsidR="00CD6405" w:rsidRPr="00835B3C">
        <w:rPr>
          <w:rFonts w:asciiTheme="minorHAnsi" w:hAnsiTheme="minorHAnsi" w:cstheme="minorHAnsi"/>
          <w:sz w:val="24"/>
          <w:szCs w:val="24"/>
        </w:rPr>
        <w:t>hort and long-</w:t>
      </w:r>
      <w:r w:rsidRPr="00835B3C">
        <w:rPr>
          <w:rFonts w:asciiTheme="minorHAnsi" w:hAnsiTheme="minorHAnsi" w:cstheme="minorHAnsi"/>
          <w:sz w:val="24"/>
          <w:szCs w:val="24"/>
        </w:rPr>
        <w:t xml:space="preserve">term objectives. </w:t>
      </w:r>
    </w:p>
    <w:p w:rsidR="00D42660" w:rsidRPr="00835B3C" w:rsidRDefault="00D42660" w:rsidP="00D4266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5B3C">
        <w:rPr>
          <w:rFonts w:asciiTheme="minorHAnsi" w:hAnsiTheme="minorHAnsi" w:cstheme="minorHAnsi"/>
          <w:sz w:val="24"/>
          <w:szCs w:val="24"/>
        </w:rPr>
        <w:t>We will continue to use cross cutting apprenticeships to develop skills across the council</w:t>
      </w:r>
      <w:r w:rsidR="00CD6405" w:rsidRPr="00835B3C">
        <w:rPr>
          <w:rFonts w:asciiTheme="minorHAnsi" w:hAnsiTheme="minorHAnsi" w:cstheme="minorHAnsi"/>
          <w:sz w:val="24"/>
          <w:szCs w:val="24"/>
        </w:rPr>
        <w:t>, s</w:t>
      </w:r>
      <w:r w:rsidR="00A3091E" w:rsidRPr="00835B3C">
        <w:rPr>
          <w:rFonts w:asciiTheme="minorHAnsi" w:hAnsiTheme="minorHAnsi" w:cstheme="minorHAnsi"/>
          <w:sz w:val="24"/>
          <w:szCs w:val="24"/>
        </w:rPr>
        <w:t xml:space="preserve">uch as Leadership &amp; Management </w:t>
      </w:r>
      <w:r w:rsidR="00CD6405" w:rsidRPr="00835B3C">
        <w:rPr>
          <w:rFonts w:asciiTheme="minorHAnsi" w:hAnsiTheme="minorHAnsi" w:cstheme="minorHAnsi"/>
          <w:sz w:val="24"/>
          <w:szCs w:val="24"/>
        </w:rPr>
        <w:t xml:space="preserve">apprenticeships. </w:t>
      </w:r>
      <w:r w:rsidRPr="00835B3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869E8" w:rsidRPr="00835B3C" w:rsidRDefault="00C220B8" w:rsidP="00D4266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5B3C">
        <w:rPr>
          <w:rFonts w:asciiTheme="minorHAnsi" w:hAnsiTheme="minorHAnsi" w:cstheme="minorHAnsi"/>
          <w:sz w:val="24"/>
          <w:szCs w:val="24"/>
        </w:rPr>
        <w:t>We will continue to meet</w:t>
      </w:r>
      <w:r w:rsidR="00C869E8" w:rsidRPr="00835B3C">
        <w:rPr>
          <w:rFonts w:asciiTheme="minorHAnsi" w:hAnsiTheme="minorHAnsi" w:cstheme="minorHAnsi"/>
          <w:sz w:val="24"/>
          <w:szCs w:val="24"/>
        </w:rPr>
        <w:t xml:space="preserve"> regularly</w:t>
      </w:r>
      <w:r w:rsidRPr="00835B3C">
        <w:rPr>
          <w:rFonts w:asciiTheme="minorHAnsi" w:hAnsiTheme="minorHAnsi" w:cstheme="minorHAnsi"/>
          <w:sz w:val="24"/>
          <w:szCs w:val="24"/>
        </w:rPr>
        <w:t xml:space="preserve"> with apprentices and managers across </w:t>
      </w:r>
      <w:r w:rsidR="00C869E8" w:rsidRPr="00835B3C">
        <w:rPr>
          <w:rFonts w:asciiTheme="minorHAnsi" w:hAnsiTheme="minorHAnsi" w:cstheme="minorHAnsi"/>
          <w:sz w:val="24"/>
          <w:szCs w:val="24"/>
        </w:rPr>
        <w:t xml:space="preserve">our entire apprentice community </w:t>
      </w:r>
      <w:r w:rsidR="00A3091E" w:rsidRPr="00835B3C">
        <w:rPr>
          <w:rFonts w:asciiTheme="minorHAnsi" w:hAnsiTheme="minorHAnsi" w:cstheme="minorHAnsi"/>
          <w:sz w:val="24"/>
          <w:szCs w:val="24"/>
        </w:rPr>
        <w:t>to receive feedback and ensure that we continue to provide effective support for our apprentice programme.</w:t>
      </w:r>
    </w:p>
    <w:p w:rsidR="00C220B8" w:rsidRPr="00835B3C" w:rsidRDefault="00A3091E" w:rsidP="00D4266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5B3C">
        <w:rPr>
          <w:rFonts w:asciiTheme="minorHAnsi" w:hAnsiTheme="minorHAnsi" w:cstheme="minorHAnsi"/>
          <w:sz w:val="24"/>
          <w:szCs w:val="24"/>
        </w:rPr>
        <w:t xml:space="preserve">We have introduced a programme to Adults Services, offering Level 2, 4 and 5 Adult Care apprenticeships are part of the services development programme and to support meeting statutory qualification requirements. </w:t>
      </w:r>
    </w:p>
    <w:p w:rsidR="00D42660" w:rsidRPr="00835B3C" w:rsidRDefault="00D42660" w:rsidP="00D4266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5B3C">
        <w:rPr>
          <w:rFonts w:asciiTheme="minorHAnsi" w:hAnsiTheme="minorHAnsi" w:cstheme="minorHAnsi"/>
          <w:sz w:val="24"/>
          <w:szCs w:val="24"/>
        </w:rPr>
        <w:t xml:space="preserve">We are further developing the Tameside Ambassador programme to promote the apprenticeship programme across </w:t>
      </w:r>
      <w:r w:rsidR="00A3091E" w:rsidRPr="00835B3C">
        <w:rPr>
          <w:rFonts w:asciiTheme="minorHAnsi" w:hAnsiTheme="minorHAnsi" w:cstheme="minorHAnsi"/>
          <w:sz w:val="24"/>
          <w:szCs w:val="24"/>
        </w:rPr>
        <w:t>Tameside.</w:t>
      </w:r>
      <w:r w:rsidRPr="00835B3C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D42660" w:rsidRPr="00835B3C" w:rsidRDefault="00D42660" w:rsidP="00D4266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5B3C">
        <w:rPr>
          <w:rFonts w:asciiTheme="minorHAnsi" w:hAnsiTheme="minorHAnsi" w:cstheme="minorHAnsi"/>
          <w:sz w:val="24"/>
          <w:szCs w:val="24"/>
        </w:rPr>
        <w:t xml:space="preserve">We will be creating apprenticeship forums to support and provide ongoing information to continually strengthen our programme and strategy.  </w:t>
      </w:r>
    </w:p>
    <w:p w:rsidR="00D42660" w:rsidRPr="00835B3C" w:rsidRDefault="00D42660" w:rsidP="00D4266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5B3C">
        <w:rPr>
          <w:rFonts w:asciiTheme="minorHAnsi" w:hAnsiTheme="minorHAnsi" w:cstheme="minorHAnsi"/>
          <w:sz w:val="24"/>
          <w:szCs w:val="24"/>
        </w:rPr>
        <w:t>We will be conducting targeted support to schools to support them in increasing their numbers of apprenticeships utilising the Business School Manager Apprenticeships, SEND apprenticeships as well as traditional business su</w:t>
      </w:r>
      <w:r w:rsidR="00835B3C" w:rsidRPr="00835B3C">
        <w:rPr>
          <w:rFonts w:asciiTheme="minorHAnsi" w:hAnsiTheme="minorHAnsi" w:cstheme="minorHAnsi"/>
          <w:sz w:val="24"/>
          <w:szCs w:val="24"/>
        </w:rPr>
        <w:t xml:space="preserve">pport and teaching assistants. </w:t>
      </w:r>
    </w:p>
    <w:p w:rsidR="00D42660" w:rsidRPr="00835B3C" w:rsidRDefault="00D42660" w:rsidP="00D4266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5B3C">
        <w:rPr>
          <w:rFonts w:asciiTheme="minorHAnsi" w:hAnsiTheme="minorHAnsi" w:cstheme="minorHAnsi"/>
          <w:sz w:val="24"/>
          <w:szCs w:val="24"/>
        </w:rPr>
        <w:t>We will continue to strengthen our relationship with providers and strive to build on our improvement work</w:t>
      </w:r>
      <w:r w:rsidR="00CD6405" w:rsidRPr="00835B3C">
        <w:rPr>
          <w:rFonts w:asciiTheme="minorHAnsi" w:hAnsiTheme="minorHAnsi" w:cstheme="minorHAnsi"/>
          <w:sz w:val="24"/>
          <w:szCs w:val="24"/>
        </w:rPr>
        <w:t>,</w:t>
      </w:r>
      <w:r w:rsidRPr="00835B3C">
        <w:rPr>
          <w:rFonts w:asciiTheme="minorHAnsi" w:hAnsiTheme="minorHAnsi" w:cstheme="minorHAnsi"/>
          <w:sz w:val="24"/>
          <w:szCs w:val="24"/>
        </w:rPr>
        <w:t xml:space="preserve"> which has led to a reduction in time from engagement wit</w:t>
      </w:r>
      <w:r w:rsidR="00CD6405" w:rsidRPr="00835B3C">
        <w:rPr>
          <w:rFonts w:asciiTheme="minorHAnsi" w:hAnsiTheme="minorHAnsi" w:cstheme="minorHAnsi"/>
          <w:sz w:val="24"/>
          <w:szCs w:val="24"/>
        </w:rPr>
        <w:t>h the provider to official sign-</w:t>
      </w:r>
      <w:r w:rsidR="00C869E8" w:rsidRPr="00835B3C">
        <w:rPr>
          <w:rFonts w:asciiTheme="minorHAnsi" w:hAnsiTheme="minorHAnsi" w:cstheme="minorHAnsi"/>
          <w:sz w:val="24"/>
          <w:szCs w:val="24"/>
        </w:rPr>
        <w:t xml:space="preserve">on with the apprentice. </w:t>
      </w:r>
    </w:p>
    <w:p w:rsidR="002215A9" w:rsidRPr="00835B3C" w:rsidRDefault="00D42660" w:rsidP="00966B3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5B3C">
        <w:rPr>
          <w:rFonts w:asciiTheme="minorHAnsi" w:hAnsiTheme="minorHAnsi" w:cstheme="minorHAnsi"/>
          <w:sz w:val="24"/>
          <w:szCs w:val="24"/>
        </w:rPr>
        <w:t>We will continue to work with our GM colleagues as part of our collaboration, and also continue to work directly with the Local Government Associatio</w:t>
      </w:r>
      <w:r w:rsidR="00CD6405" w:rsidRPr="00835B3C">
        <w:rPr>
          <w:rFonts w:asciiTheme="minorHAnsi" w:hAnsiTheme="minorHAnsi" w:cstheme="minorHAnsi"/>
          <w:sz w:val="24"/>
          <w:szCs w:val="24"/>
        </w:rPr>
        <w:t>n in strengthening our approach.</w:t>
      </w:r>
      <w:bookmarkEnd w:id="0"/>
    </w:p>
    <w:sectPr w:rsidR="002215A9" w:rsidRPr="00835B3C" w:rsidSect="00966B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9DF"/>
    <w:multiLevelType w:val="multilevel"/>
    <w:tmpl w:val="2A82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737F7"/>
    <w:multiLevelType w:val="hybridMultilevel"/>
    <w:tmpl w:val="614C1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B63"/>
    <w:multiLevelType w:val="hybridMultilevel"/>
    <w:tmpl w:val="3BEEA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B19A1"/>
    <w:multiLevelType w:val="multilevel"/>
    <w:tmpl w:val="BB5C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39"/>
    <w:rsid w:val="000B594A"/>
    <w:rsid w:val="00247DD2"/>
    <w:rsid w:val="004946E8"/>
    <w:rsid w:val="004E06EC"/>
    <w:rsid w:val="006143A2"/>
    <w:rsid w:val="006E2E39"/>
    <w:rsid w:val="007164A4"/>
    <w:rsid w:val="00835B3C"/>
    <w:rsid w:val="008F483A"/>
    <w:rsid w:val="00966B39"/>
    <w:rsid w:val="00A3091E"/>
    <w:rsid w:val="00AD5D01"/>
    <w:rsid w:val="00B95AC6"/>
    <w:rsid w:val="00C0480F"/>
    <w:rsid w:val="00C220B8"/>
    <w:rsid w:val="00C869E8"/>
    <w:rsid w:val="00CD6405"/>
    <w:rsid w:val="00D42660"/>
    <w:rsid w:val="00D5671A"/>
    <w:rsid w:val="00F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61F3"/>
  <w15:chartTrackingRefBased/>
  <w15:docId w15:val="{9BD77F08-8F29-419E-AC0A-AE39FBD5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B3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66B3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66B3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B39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B39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66B3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66B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pull-left">
    <w:name w:val="pull-left"/>
    <w:basedOn w:val="DefaultParagraphFont"/>
    <w:rsid w:val="00966B39"/>
  </w:style>
  <w:style w:type="paragraph" w:styleId="ListParagraph">
    <w:name w:val="List Paragraph"/>
    <w:basedOn w:val="Normal"/>
    <w:uiPriority w:val="34"/>
    <w:qFormat/>
    <w:rsid w:val="00D42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TMBC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Buczynski</dc:creator>
  <cp:keywords/>
  <dc:description/>
  <cp:lastModifiedBy>Roxanna Joyce</cp:lastModifiedBy>
  <cp:revision>6</cp:revision>
  <dcterms:created xsi:type="dcterms:W3CDTF">2020-11-16T08:01:00Z</dcterms:created>
  <dcterms:modified xsi:type="dcterms:W3CDTF">2022-09-30T14:31:00Z</dcterms:modified>
</cp:coreProperties>
</file>