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C82217" w:rsidRPr="00C82217" w:rsidTr="00C82217">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C82217" w:rsidRPr="00C8221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82217" w:rsidRPr="00C82217">
                          <w:tc>
                            <w:tcPr>
                              <w:tcW w:w="0" w:type="auto"/>
                              <w:tcMar>
                                <w:top w:w="0" w:type="dxa"/>
                                <w:left w:w="135" w:type="dxa"/>
                                <w:bottom w:w="0" w:type="dxa"/>
                                <w:right w:w="135" w:type="dxa"/>
                              </w:tcMar>
                              <w:hideMark/>
                            </w:tcPr>
                            <w:p w:rsidR="00C82217" w:rsidRPr="00C82217" w:rsidRDefault="00C82217" w:rsidP="00C82217">
                              <w:pPr>
                                <w:spacing w:after="0" w:line="240" w:lineRule="auto"/>
                                <w:jc w:val="center"/>
                                <w:rPr>
                                  <w:rFonts w:ascii="Times New Roman" w:eastAsia="Times New Roman" w:hAnsi="Times New Roman" w:cs="Times New Roman"/>
                                  <w:sz w:val="24"/>
                                  <w:szCs w:val="24"/>
                                  <w:lang w:eastAsia="en-GB"/>
                                </w:rPr>
                              </w:pPr>
                              <w:r w:rsidRPr="00C82217">
                                <w:rPr>
                                  <w:rFonts w:ascii="Times New Roman" w:eastAsia="Times New Roman" w:hAnsi="Times New Roman" w:cs="Times New Roman"/>
                                  <w:noProof/>
                                  <w:sz w:val="24"/>
                                  <w:szCs w:val="24"/>
                                  <w:lang w:eastAsia="en-GB"/>
                                </w:rPr>
                                <w:drawing>
                                  <wp:inline distT="0" distB="0" distL="0" distR="0">
                                    <wp:extent cx="4600575" cy="990600"/>
                                    <wp:effectExtent l="0" t="0" r="9525" b="0"/>
                                    <wp:docPr id="4" name="Picture 4" descr="https://gallery.mailchimp.com/c82daebd778d6cd9667beed7e/images/bf5854ca-2f9e-4e83-b95a-650caa5a2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82daebd778d6cd9667beed7e/images/bf5854ca-2f9e-4e83-b95a-650caa5a2e8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0575" cy="990600"/>
                                            </a:xfrm>
                                            <a:prstGeom prst="rect">
                                              <a:avLst/>
                                            </a:prstGeom>
                                            <a:noFill/>
                                            <a:ln>
                                              <a:noFill/>
                                            </a:ln>
                                          </pic:spPr>
                                        </pic:pic>
                                      </a:graphicData>
                                    </a:graphic>
                                  </wp:inline>
                                </w:drawing>
                              </w:r>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82217" w:rsidRPr="00C82217">
                          <w:tc>
                            <w:tcPr>
                              <w:tcW w:w="0" w:type="auto"/>
                              <w:tcMar>
                                <w:top w:w="0" w:type="dxa"/>
                                <w:left w:w="135" w:type="dxa"/>
                                <w:bottom w:w="0" w:type="dxa"/>
                                <w:right w:w="135" w:type="dxa"/>
                              </w:tcMar>
                              <w:hideMark/>
                            </w:tcPr>
                            <w:p w:rsidR="00C82217" w:rsidRPr="00C82217" w:rsidRDefault="00C82217" w:rsidP="00C82217">
                              <w:pPr>
                                <w:spacing w:after="0" w:line="240" w:lineRule="auto"/>
                                <w:jc w:val="center"/>
                                <w:rPr>
                                  <w:rFonts w:ascii="Times New Roman" w:eastAsia="Times New Roman" w:hAnsi="Times New Roman" w:cs="Times New Roman"/>
                                  <w:sz w:val="24"/>
                                  <w:szCs w:val="24"/>
                                  <w:lang w:eastAsia="en-GB"/>
                                </w:rPr>
                              </w:pPr>
                              <w:r w:rsidRPr="00C82217">
                                <w:rPr>
                                  <w:rFonts w:ascii="Times New Roman" w:eastAsia="Times New Roman" w:hAnsi="Times New Roman" w:cs="Times New Roman"/>
                                  <w:noProof/>
                                  <w:sz w:val="24"/>
                                  <w:szCs w:val="24"/>
                                  <w:lang w:eastAsia="en-GB"/>
                                </w:rPr>
                                <w:drawing>
                                  <wp:inline distT="0" distB="0" distL="0" distR="0">
                                    <wp:extent cx="5372100" cy="1343025"/>
                                    <wp:effectExtent l="0" t="0" r="0" b="9525"/>
                                    <wp:docPr id="3" name="Picture 3" descr="https://mcusercontent.com/c82daebd778d6cd9667beed7e/images/236425b4-d32e-41cb-b142-9c684bd1f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82daebd778d6cd9667beed7e/images/236425b4-d32e-41cb-b142-9c684bd1f9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bookmarkStart w:id="0" w:name="_GoBack"/>
                        <w:bookmarkEnd w:id="0"/>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jc w:val="center"/>
              <w:rPr>
                <w:rFonts w:ascii="Times New Roman" w:eastAsia="Times New Roman" w:hAnsi="Times New Roman" w:cs="Times New Roman"/>
                <w:color w:val="000000"/>
                <w:sz w:val="27"/>
                <w:szCs w:val="27"/>
                <w:lang w:eastAsia="en-GB"/>
              </w:rPr>
            </w:pPr>
          </w:p>
        </w:tc>
      </w:tr>
      <w:tr w:rsidR="00C82217" w:rsidRPr="00C82217" w:rsidTr="00C82217">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C82217" w:rsidRPr="00C8221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0" w:type="dxa"/>
                                <w:left w:w="270" w:type="dxa"/>
                                <w:bottom w:w="135" w:type="dxa"/>
                                <w:right w:w="270" w:type="dxa"/>
                              </w:tcMar>
                              <w:hideMark/>
                            </w:tcPr>
                            <w:p w:rsidR="00C82217" w:rsidRPr="00C82217" w:rsidRDefault="00C82217" w:rsidP="00C82217">
                              <w:pPr>
                                <w:spacing w:after="0" w:line="360" w:lineRule="atLeast"/>
                                <w:rPr>
                                  <w:rFonts w:ascii="Helvetica" w:eastAsia="Times New Roman" w:hAnsi="Helvetica" w:cs="Helvetica"/>
                                  <w:color w:val="202020"/>
                                  <w:sz w:val="24"/>
                                  <w:szCs w:val="24"/>
                                  <w:lang w:eastAsia="en-GB"/>
                                </w:rPr>
                              </w:pPr>
                              <w:r w:rsidRPr="00C82217">
                                <w:rPr>
                                  <w:rFonts w:ascii="Helvetica" w:eastAsia="Times New Roman" w:hAnsi="Helvetica" w:cs="Helvetica"/>
                                  <w:color w:val="202020"/>
                                  <w:sz w:val="24"/>
                                  <w:szCs w:val="24"/>
                                  <w:lang w:eastAsia="en-GB"/>
                                </w:rPr>
                                <w:t>The UK has now left the EU, and businesses are operating under a new set of rules.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t>Help and support about how these changes affect your business is available from a range of sources.</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t>For Tameside Businesses, the </w:t>
                              </w:r>
                              <w:hyperlink r:id="rId6" w:tgtFrame="_blank" w:history="1">
                                <w:r w:rsidRPr="00C82217">
                                  <w:rPr>
                                    <w:rFonts w:ascii="Helvetica" w:eastAsia="Times New Roman" w:hAnsi="Helvetica" w:cs="Helvetica"/>
                                    <w:color w:val="007C89"/>
                                    <w:sz w:val="24"/>
                                    <w:szCs w:val="24"/>
                                    <w:u w:val="single"/>
                                    <w:lang w:eastAsia="en-GB"/>
                                  </w:rPr>
                                  <w:t>Greater Manchester Business Growth Hub</w:t>
                                </w:r>
                              </w:hyperlink>
                              <w:r w:rsidRPr="00C82217">
                                <w:rPr>
                                  <w:rFonts w:ascii="Helvetica" w:eastAsia="Times New Roman" w:hAnsi="Helvetica" w:cs="Helvetica"/>
                                  <w:color w:val="202020"/>
                                  <w:sz w:val="24"/>
                                  <w:szCs w:val="24"/>
                                  <w:lang w:eastAsia="en-GB"/>
                                </w:rPr>
                                <w:t> and the </w:t>
                              </w:r>
                              <w:hyperlink r:id="rId7" w:tgtFrame="_blank" w:history="1">
                                <w:r w:rsidRPr="00C82217">
                                  <w:rPr>
                                    <w:rFonts w:ascii="Helvetica" w:eastAsia="Times New Roman" w:hAnsi="Helvetica" w:cs="Helvetica"/>
                                    <w:color w:val="007C89"/>
                                    <w:sz w:val="24"/>
                                    <w:szCs w:val="24"/>
                                    <w:u w:val="single"/>
                                    <w:lang w:eastAsia="en-GB"/>
                                  </w:rPr>
                                  <w:t>Greater Manchester Chamber of Commerce</w:t>
                                </w:r>
                              </w:hyperlink>
                              <w:r w:rsidRPr="00C82217">
                                <w:rPr>
                                  <w:rFonts w:ascii="Helvetica" w:eastAsia="Times New Roman" w:hAnsi="Helvetica" w:cs="Helvetica"/>
                                  <w:color w:val="202020"/>
                                  <w:sz w:val="24"/>
                                  <w:szCs w:val="24"/>
                                  <w:lang w:eastAsia="en-GB"/>
                                </w:rPr>
                                <w:t xml:space="preserve"> both have dedicated </w:t>
                              </w:r>
                              <w:proofErr w:type="spellStart"/>
                              <w:r w:rsidRPr="00C82217">
                                <w:rPr>
                                  <w:rFonts w:ascii="Helvetica" w:eastAsia="Times New Roman" w:hAnsi="Helvetica" w:cs="Helvetica"/>
                                  <w:color w:val="202020"/>
                                  <w:sz w:val="24"/>
                                  <w:szCs w:val="24"/>
                                  <w:lang w:eastAsia="en-GB"/>
                                </w:rPr>
                                <w:t>Brexit</w:t>
                              </w:r>
                              <w:proofErr w:type="spellEnd"/>
                              <w:r w:rsidRPr="00C82217">
                                <w:rPr>
                                  <w:rFonts w:ascii="Helvetica" w:eastAsia="Times New Roman" w:hAnsi="Helvetica" w:cs="Helvetica"/>
                                  <w:color w:val="202020"/>
                                  <w:sz w:val="24"/>
                                  <w:szCs w:val="24"/>
                                  <w:lang w:eastAsia="en-GB"/>
                                </w:rPr>
                                <w:t xml:space="preserve"> support pages, with a variety of help, support and guidance.</w:t>
                              </w:r>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82217" w:rsidRPr="00C82217">
                          <w:tc>
                            <w:tcPr>
                              <w:tcW w:w="0" w:type="auto"/>
                              <w:tcMar>
                                <w:top w:w="0" w:type="dxa"/>
                                <w:left w:w="135" w:type="dxa"/>
                                <w:bottom w:w="0" w:type="dxa"/>
                                <w:right w:w="135" w:type="dxa"/>
                              </w:tcMar>
                              <w:hideMark/>
                            </w:tcPr>
                            <w:p w:rsidR="00C82217" w:rsidRPr="00C82217" w:rsidRDefault="00C82217" w:rsidP="00C82217">
                              <w:pPr>
                                <w:spacing w:after="0" w:line="240" w:lineRule="auto"/>
                                <w:jc w:val="center"/>
                                <w:rPr>
                                  <w:rFonts w:ascii="Times New Roman" w:eastAsia="Times New Roman" w:hAnsi="Times New Roman" w:cs="Times New Roman"/>
                                  <w:sz w:val="24"/>
                                  <w:szCs w:val="24"/>
                                  <w:lang w:eastAsia="en-GB"/>
                                </w:rPr>
                              </w:pPr>
                              <w:r w:rsidRPr="00C82217">
                                <w:rPr>
                                  <w:rFonts w:ascii="Times New Roman" w:eastAsia="Times New Roman" w:hAnsi="Times New Roman" w:cs="Times New Roman"/>
                                  <w:noProof/>
                                  <w:sz w:val="24"/>
                                  <w:szCs w:val="24"/>
                                  <w:lang w:eastAsia="en-GB"/>
                                </w:rPr>
                                <w:drawing>
                                  <wp:inline distT="0" distB="0" distL="0" distR="0">
                                    <wp:extent cx="5372100" cy="666750"/>
                                    <wp:effectExtent l="0" t="0" r="0" b="0"/>
                                    <wp:docPr id="2" name="Picture 2" descr="https://mcusercontent.com/c82daebd778d6cd9667beed7e/images/e324f1cd-a6c2-409f-8c71-c84ed8aac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82daebd778d6cd9667beed7e/images/e324f1cd-a6c2-409f-8c71-c84ed8aaca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0" w:type="dxa"/>
                                <w:left w:w="270" w:type="dxa"/>
                                <w:bottom w:w="135" w:type="dxa"/>
                                <w:right w:w="270" w:type="dxa"/>
                              </w:tcMar>
                              <w:hideMark/>
                            </w:tcPr>
                            <w:p w:rsidR="00C82217" w:rsidRPr="00C82217" w:rsidRDefault="00C82217" w:rsidP="00C82217">
                              <w:pPr>
                                <w:spacing w:after="0" w:line="360" w:lineRule="atLeast"/>
                                <w:rPr>
                                  <w:rFonts w:ascii="Helvetica" w:eastAsia="Times New Roman" w:hAnsi="Helvetica" w:cs="Helvetica"/>
                                  <w:color w:val="202020"/>
                                  <w:sz w:val="24"/>
                                  <w:szCs w:val="24"/>
                                  <w:lang w:eastAsia="en-GB"/>
                                </w:rPr>
                              </w:pPr>
                              <w:r w:rsidRPr="00C82217">
                                <w:rPr>
                                  <w:rFonts w:ascii="Helvetica" w:eastAsia="Times New Roman" w:hAnsi="Helvetica" w:cs="Helvetica"/>
                                  <w:color w:val="202020"/>
                                  <w:sz w:val="24"/>
                                  <w:szCs w:val="24"/>
                                  <w:lang w:eastAsia="en-GB"/>
                                </w:rPr>
                                <w:t>The Greater Manchester Chamber of Commerce have </w:t>
                              </w:r>
                              <w:hyperlink r:id="rId9" w:tgtFrame="_blank" w:history="1">
                                <w:r w:rsidRPr="00C82217">
                                  <w:rPr>
                                    <w:rFonts w:ascii="Helvetica" w:eastAsia="Times New Roman" w:hAnsi="Helvetica" w:cs="Helvetica"/>
                                    <w:color w:val="007C89"/>
                                    <w:sz w:val="24"/>
                                    <w:szCs w:val="24"/>
                                    <w:u w:val="single"/>
                                    <w:lang w:eastAsia="en-GB"/>
                                  </w:rPr>
                                  <w:t>a free webinar on Thursday 7 January</w:t>
                                </w:r>
                              </w:hyperlink>
                              <w:r w:rsidRPr="00C82217">
                                <w:rPr>
                                  <w:rFonts w:ascii="Helvetica" w:eastAsia="Times New Roman" w:hAnsi="Helvetica" w:cs="Helvetica"/>
                                  <w:color w:val="202020"/>
                                  <w:sz w:val="24"/>
                                  <w:szCs w:val="24"/>
                                  <w:lang w:eastAsia="en-GB"/>
                                </w:rPr>
                                <w:t>, providing an update on the trade negotiations and their impact.</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t>The Department Business Energy and Industrial Strategy has a number of UK transition business webinars available, which you can </w:t>
                              </w:r>
                              <w:hyperlink r:id="rId10" w:tgtFrame="_blank" w:history="1">
                                <w:r w:rsidRPr="00C82217">
                                  <w:rPr>
                                    <w:rFonts w:ascii="Helvetica" w:eastAsia="Times New Roman" w:hAnsi="Helvetica" w:cs="Helvetica"/>
                                    <w:color w:val="007C89"/>
                                    <w:sz w:val="24"/>
                                    <w:szCs w:val="24"/>
                                    <w:u w:val="single"/>
                                    <w:lang w:eastAsia="en-GB"/>
                                  </w:rPr>
                                  <w:t>watch </w:t>
                                </w:r>
                                <w:r w:rsidRPr="00C82217">
                                  <w:rPr>
                                    <w:rFonts w:ascii="Helvetica" w:eastAsia="Times New Roman" w:hAnsi="Helvetica" w:cs="Helvetica"/>
                                    <w:b/>
                                    <w:bCs/>
                                    <w:color w:val="007C89"/>
                                    <w:sz w:val="24"/>
                                    <w:szCs w:val="24"/>
                                    <w:u w:val="single"/>
                                    <w:lang w:eastAsia="en-GB"/>
                                  </w:rPr>
                                  <w:t>on demand</w:t>
                                </w:r>
                                <w:r w:rsidRPr="00C82217">
                                  <w:rPr>
                                    <w:rFonts w:ascii="Helvetica" w:eastAsia="Times New Roman" w:hAnsi="Helvetica" w:cs="Helvetica"/>
                                    <w:color w:val="007C89"/>
                                    <w:sz w:val="24"/>
                                    <w:szCs w:val="24"/>
                                    <w:u w:val="single"/>
                                    <w:lang w:eastAsia="en-GB"/>
                                  </w:rPr>
                                  <w:t> here</w:t>
                                </w:r>
                              </w:hyperlink>
                              <w:r w:rsidRPr="00C82217">
                                <w:rPr>
                                  <w:rFonts w:ascii="Helvetica" w:eastAsia="Times New Roman" w:hAnsi="Helvetica" w:cs="Helvetica"/>
                                  <w:color w:val="202020"/>
                                  <w:sz w:val="24"/>
                                  <w:szCs w:val="24"/>
                                  <w:lang w:eastAsia="en-GB"/>
                                </w:rPr>
                                <w:t>. These cover topics including providing services in the EU, regulations on manufactured goods and consumer goods, as well as sector focused sessions.</w:t>
                              </w:r>
                              <w:r w:rsidRPr="00C82217">
                                <w:rPr>
                                  <w:rFonts w:ascii="Helvetica" w:eastAsia="Times New Roman" w:hAnsi="Helvetica" w:cs="Helvetica"/>
                                  <w:color w:val="202020"/>
                                  <w:sz w:val="24"/>
                                  <w:szCs w:val="24"/>
                                  <w:lang w:eastAsia="en-GB"/>
                                </w:rPr>
                                <w:br/>
                                <w:t> </w:t>
                              </w:r>
                              <w:r w:rsidRPr="00C82217">
                                <w:rPr>
                                  <w:rFonts w:ascii="Helvetica" w:eastAsia="Times New Roman" w:hAnsi="Helvetica" w:cs="Helvetica"/>
                                  <w:color w:val="202020"/>
                                  <w:sz w:val="24"/>
                                  <w:szCs w:val="24"/>
                                  <w:lang w:eastAsia="en-GB"/>
                                </w:rPr>
                                <w:br/>
                                <w:t xml:space="preserve">The Department for International Trade's (DIT) has recordings of all its </w:t>
                              </w:r>
                              <w:r w:rsidRPr="00C82217">
                                <w:rPr>
                                  <w:rFonts w:ascii="Helvetica" w:eastAsia="Times New Roman" w:hAnsi="Helvetica" w:cs="Helvetica"/>
                                  <w:color w:val="202020"/>
                                  <w:sz w:val="24"/>
                                  <w:szCs w:val="24"/>
                                  <w:lang w:eastAsia="en-GB"/>
                                </w:rPr>
                                <w:lastRenderedPageBreak/>
                                <w:t xml:space="preserve">webinars on </w:t>
                              </w:r>
                              <w:proofErr w:type="spellStart"/>
                              <w:r w:rsidRPr="00C82217">
                                <w:rPr>
                                  <w:rFonts w:ascii="Helvetica" w:eastAsia="Times New Roman" w:hAnsi="Helvetica" w:cs="Helvetica"/>
                                  <w:color w:val="202020"/>
                                  <w:sz w:val="24"/>
                                  <w:szCs w:val="24"/>
                                  <w:lang w:eastAsia="en-GB"/>
                                </w:rPr>
                                <w:t>Brexit</w:t>
                              </w:r>
                              <w:proofErr w:type="spellEnd"/>
                              <w:r w:rsidRPr="00C82217">
                                <w:rPr>
                                  <w:rFonts w:ascii="Helvetica" w:eastAsia="Times New Roman" w:hAnsi="Helvetica" w:cs="Helvetica"/>
                                  <w:color w:val="202020"/>
                                  <w:sz w:val="24"/>
                                  <w:szCs w:val="24"/>
                                  <w:lang w:eastAsia="en-GB"/>
                                </w:rPr>
                                <w:t xml:space="preserve"> available as recordings on </w:t>
                              </w:r>
                              <w:hyperlink r:id="rId11" w:tgtFrame="_blank" w:history="1">
                                <w:r w:rsidRPr="00C82217">
                                  <w:rPr>
                                    <w:rFonts w:ascii="Helvetica" w:eastAsia="Times New Roman" w:hAnsi="Helvetica" w:cs="Helvetica"/>
                                    <w:color w:val="007C89"/>
                                    <w:sz w:val="24"/>
                                    <w:szCs w:val="24"/>
                                    <w:u w:val="single"/>
                                    <w:lang w:eastAsia="en-GB"/>
                                  </w:rPr>
                                  <w:t>YouTube</w:t>
                                </w:r>
                              </w:hyperlink>
                              <w:r w:rsidRPr="00C82217">
                                <w:rPr>
                                  <w:rFonts w:ascii="Helvetica" w:eastAsia="Times New Roman" w:hAnsi="Helvetica" w:cs="Helvetica"/>
                                  <w:color w:val="202020"/>
                                  <w:sz w:val="24"/>
                                  <w:szCs w:val="24"/>
                                  <w:lang w:eastAsia="en-GB"/>
                                </w:rPr>
                                <w:t>.</w:t>
                              </w:r>
                              <w:r w:rsidRPr="00C82217">
                                <w:rPr>
                                  <w:rFonts w:ascii="Helvetica" w:eastAsia="Times New Roman" w:hAnsi="Helvetica" w:cs="Helvetica"/>
                                  <w:color w:val="202020"/>
                                  <w:sz w:val="24"/>
                                  <w:szCs w:val="24"/>
                                  <w:lang w:eastAsia="en-GB"/>
                                </w:rPr>
                                <w:br/>
                                <w:t> </w:t>
                              </w:r>
                              <w:r w:rsidRPr="00C82217">
                                <w:rPr>
                                  <w:rFonts w:ascii="Helvetica" w:eastAsia="Times New Roman" w:hAnsi="Helvetica" w:cs="Helvetica"/>
                                  <w:color w:val="202020"/>
                                  <w:sz w:val="24"/>
                                  <w:szCs w:val="24"/>
                                  <w:lang w:eastAsia="en-GB"/>
                                </w:rPr>
                                <w:br/>
                                <w:t>The Financial Conduct Authority now has a series of three webinars available to watch on demand:</w:t>
                              </w:r>
                              <w:r w:rsidRPr="00C82217">
                                <w:rPr>
                                  <w:rFonts w:ascii="Helvetica" w:eastAsia="Times New Roman" w:hAnsi="Helvetica" w:cs="Helvetica"/>
                                  <w:color w:val="202020"/>
                                  <w:sz w:val="24"/>
                                  <w:szCs w:val="24"/>
                                  <w:lang w:eastAsia="en-GB"/>
                                </w:rPr>
                                <w:br/>
                              </w:r>
                              <w:hyperlink r:id="rId12" w:history="1">
                                <w:r w:rsidRPr="00C82217">
                                  <w:rPr>
                                    <w:rFonts w:ascii="Helvetica" w:eastAsia="Times New Roman" w:hAnsi="Helvetica" w:cs="Helvetica"/>
                                    <w:color w:val="007C89"/>
                                    <w:sz w:val="24"/>
                                    <w:szCs w:val="24"/>
                                    <w:u w:val="single"/>
                                    <w:lang w:eastAsia="en-GB"/>
                                  </w:rPr>
                                  <w:t xml:space="preserve">Part 1: Handbook changes and </w:t>
                                </w:r>
                                <w:proofErr w:type="spellStart"/>
                                <w:r w:rsidRPr="00C82217">
                                  <w:rPr>
                                    <w:rFonts w:ascii="Helvetica" w:eastAsia="Times New Roman" w:hAnsi="Helvetica" w:cs="Helvetica"/>
                                    <w:color w:val="007C89"/>
                                    <w:sz w:val="24"/>
                                    <w:szCs w:val="24"/>
                                    <w:u w:val="single"/>
                                    <w:lang w:eastAsia="en-GB"/>
                                  </w:rPr>
                                  <w:t>MoUs</w:t>
                                </w:r>
                                <w:proofErr w:type="spellEnd"/>
                              </w:hyperlink>
                              <w:r w:rsidRPr="00C82217">
                                <w:rPr>
                                  <w:rFonts w:ascii="Helvetica" w:eastAsia="Times New Roman" w:hAnsi="Helvetica" w:cs="Helvetica"/>
                                  <w:color w:val="202020"/>
                                  <w:sz w:val="24"/>
                                  <w:szCs w:val="24"/>
                                  <w:lang w:eastAsia="en-GB"/>
                                </w:rPr>
                                <w:br/>
                              </w:r>
                              <w:hyperlink r:id="rId13" w:history="1">
                                <w:r w:rsidRPr="00C82217">
                                  <w:rPr>
                                    <w:rFonts w:ascii="Helvetica" w:eastAsia="Times New Roman" w:hAnsi="Helvetica" w:cs="Helvetica"/>
                                    <w:color w:val="007C89"/>
                                    <w:sz w:val="24"/>
                                    <w:szCs w:val="24"/>
                                    <w:u w:val="single"/>
                                    <w:lang w:eastAsia="en-GB"/>
                                  </w:rPr>
                                  <w:t xml:space="preserve">Part 2: </w:t>
                                </w:r>
                                <w:proofErr w:type="spellStart"/>
                                <w:r w:rsidRPr="00C82217">
                                  <w:rPr>
                                    <w:rFonts w:ascii="Helvetica" w:eastAsia="Times New Roman" w:hAnsi="Helvetica" w:cs="Helvetica"/>
                                    <w:color w:val="007C89"/>
                                    <w:sz w:val="24"/>
                                    <w:szCs w:val="24"/>
                                    <w:u w:val="single"/>
                                    <w:lang w:eastAsia="en-GB"/>
                                  </w:rPr>
                                  <w:t>Onshoring</w:t>
                                </w:r>
                                <w:proofErr w:type="spellEnd"/>
                                <w:r w:rsidRPr="00C82217">
                                  <w:rPr>
                                    <w:rFonts w:ascii="Helvetica" w:eastAsia="Times New Roman" w:hAnsi="Helvetica" w:cs="Helvetica"/>
                                    <w:color w:val="007C89"/>
                                    <w:sz w:val="24"/>
                                    <w:szCs w:val="24"/>
                                    <w:u w:val="single"/>
                                    <w:lang w:eastAsia="en-GB"/>
                                  </w:rPr>
                                  <w:t xml:space="preserve"> and the temporary transition power (TTP)</w:t>
                                </w:r>
                              </w:hyperlink>
                              <w:r w:rsidRPr="00C82217">
                                <w:rPr>
                                  <w:rFonts w:ascii="Helvetica" w:eastAsia="Times New Roman" w:hAnsi="Helvetica" w:cs="Helvetica"/>
                                  <w:color w:val="202020"/>
                                  <w:sz w:val="24"/>
                                  <w:szCs w:val="24"/>
                                  <w:lang w:eastAsia="en-GB"/>
                                </w:rPr>
                                <w:br/>
                              </w:r>
                              <w:hyperlink r:id="rId14" w:history="1">
                                <w:r w:rsidRPr="00C82217">
                                  <w:rPr>
                                    <w:rFonts w:ascii="Helvetica" w:eastAsia="Times New Roman" w:hAnsi="Helvetica" w:cs="Helvetica"/>
                                    <w:color w:val="007C89"/>
                                    <w:sz w:val="24"/>
                                    <w:szCs w:val="24"/>
                                    <w:u w:val="single"/>
                                    <w:lang w:eastAsia="en-GB"/>
                                  </w:rPr>
                                  <w:t xml:space="preserve">Part 3: Temporary permissions regime (TPR) and </w:t>
                                </w:r>
                                <w:proofErr w:type="spellStart"/>
                                <w:r w:rsidRPr="00C82217">
                                  <w:rPr>
                                    <w:rFonts w:ascii="Helvetica" w:eastAsia="Times New Roman" w:hAnsi="Helvetica" w:cs="Helvetica"/>
                                    <w:color w:val="007C89"/>
                                    <w:sz w:val="24"/>
                                    <w:szCs w:val="24"/>
                                    <w:u w:val="single"/>
                                    <w:lang w:eastAsia="en-GB"/>
                                  </w:rPr>
                                  <w:t>passporting</w:t>
                                </w:r>
                                <w:proofErr w:type="spellEnd"/>
                              </w:hyperlink>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82217" w:rsidRPr="00C82217">
                          <w:tc>
                            <w:tcPr>
                              <w:tcW w:w="0" w:type="auto"/>
                              <w:tcMar>
                                <w:top w:w="0" w:type="dxa"/>
                                <w:left w:w="135" w:type="dxa"/>
                                <w:bottom w:w="0" w:type="dxa"/>
                                <w:right w:w="135" w:type="dxa"/>
                              </w:tcMar>
                              <w:hideMark/>
                            </w:tcPr>
                            <w:p w:rsidR="00C82217" w:rsidRPr="00C82217" w:rsidRDefault="00C82217" w:rsidP="00C82217">
                              <w:pPr>
                                <w:spacing w:after="0" w:line="240" w:lineRule="auto"/>
                                <w:jc w:val="center"/>
                                <w:rPr>
                                  <w:rFonts w:ascii="Times New Roman" w:eastAsia="Times New Roman" w:hAnsi="Times New Roman" w:cs="Times New Roman"/>
                                  <w:sz w:val="24"/>
                                  <w:szCs w:val="24"/>
                                  <w:lang w:eastAsia="en-GB"/>
                                </w:rPr>
                              </w:pPr>
                              <w:r w:rsidRPr="00C82217">
                                <w:rPr>
                                  <w:rFonts w:ascii="Times New Roman" w:eastAsia="Times New Roman" w:hAnsi="Times New Roman" w:cs="Times New Roman"/>
                                  <w:noProof/>
                                  <w:sz w:val="24"/>
                                  <w:szCs w:val="24"/>
                                  <w:lang w:eastAsia="en-GB"/>
                                </w:rPr>
                                <w:drawing>
                                  <wp:inline distT="0" distB="0" distL="0" distR="0">
                                    <wp:extent cx="5372100" cy="666750"/>
                                    <wp:effectExtent l="0" t="0" r="0" b="0"/>
                                    <wp:docPr id="1" name="Picture 1" descr="https://mcusercontent.com/c82daebd778d6cd9667beed7e/images/f69f66f6-4444-4826-8225-08c40e84b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c82daebd778d6cd9667beed7e/images/f69f66f6-4444-4826-8225-08c40e84bd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2217" w:rsidRPr="00C82217">
                          <w:tc>
                            <w:tcPr>
                              <w:tcW w:w="0" w:type="auto"/>
                              <w:tcMar>
                                <w:top w:w="0" w:type="dxa"/>
                                <w:left w:w="270" w:type="dxa"/>
                                <w:bottom w:w="135" w:type="dxa"/>
                                <w:right w:w="270" w:type="dxa"/>
                              </w:tcMar>
                              <w:hideMark/>
                            </w:tcPr>
                            <w:p w:rsidR="00C82217" w:rsidRPr="00C82217" w:rsidRDefault="00C82217" w:rsidP="00C82217">
                              <w:pPr>
                                <w:spacing w:after="0" w:line="360" w:lineRule="atLeast"/>
                                <w:rPr>
                                  <w:rFonts w:ascii="Helvetica" w:eastAsia="Times New Roman" w:hAnsi="Helvetica" w:cs="Helvetica"/>
                                  <w:color w:val="202020"/>
                                  <w:sz w:val="24"/>
                                  <w:szCs w:val="24"/>
                                  <w:lang w:eastAsia="en-GB"/>
                                </w:rPr>
                              </w:pPr>
                              <w:r w:rsidRPr="00C82217">
                                <w:rPr>
                                  <w:rFonts w:ascii="Helvetica" w:eastAsia="Times New Roman" w:hAnsi="Helvetica" w:cs="Helvetica"/>
                                  <w:color w:val="202020"/>
                                  <w:sz w:val="24"/>
                                  <w:szCs w:val="24"/>
                                  <w:lang w:eastAsia="en-GB"/>
                                </w:rPr>
                                <w:t xml:space="preserve">A range of guidance has been issued to help businesses with key areas of change that have come </w:t>
                              </w:r>
                              <w:proofErr w:type="spellStart"/>
                              <w:r w:rsidRPr="00C82217">
                                <w:rPr>
                                  <w:rFonts w:ascii="Helvetica" w:eastAsia="Times New Roman" w:hAnsi="Helvetica" w:cs="Helvetica"/>
                                  <w:color w:val="202020"/>
                                  <w:sz w:val="24"/>
                                  <w:szCs w:val="24"/>
                                  <w:lang w:eastAsia="en-GB"/>
                                </w:rPr>
                                <w:t>into affect</w:t>
                              </w:r>
                              <w:proofErr w:type="spellEnd"/>
                              <w:proofErr w:type="gramStart"/>
                              <w:r w:rsidRPr="00C82217">
                                <w:rPr>
                                  <w:rFonts w:ascii="Helvetica" w:eastAsia="Times New Roman" w:hAnsi="Helvetica" w:cs="Helvetica"/>
                                  <w:color w:val="202020"/>
                                  <w:sz w:val="24"/>
                                  <w:szCs w:val="24"/>
                                  <w:lang w:eastAsia="en-GB"/>
                                </w:rPr>
                                <w:t>:</w:t>
                              </w:r>
                              <w:proofErr w:type="gramEnd"/>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t>This includes</w:t>
                              </w:r>
                              <w:r w:rsidRPr="00C82217">
                                <w:rPr>
                                  <w:rFonts w:ascii="Helvetica" w:eastAsia="Times New Roman" w:hAnsi="Helvetica" w:cs="Helvetica"/>
                                  <w:b/>
                                  <w:bCs/>
                                  <w:color w:val="202020"/>
                                  <w:sz w:val="24"/>
                                  <w:szCs w:val="24"/>
                                  <w:lang w:eastAsia="en-GB"/>
                                </w:rPr>
                                <w:t> VAT and overseas goods sold to customers from online market places. </w:t>
                              </w:r>
                              <w:r w:rsidRPr="00C82217">
                                <w:rPr>
                                  <w:rFonts w:ascii="Helvetica" w:eastAsia="Times New Roman" w:hAnsi="Helvetica" w:cs="Helvetica"/>
                                  <w:color w:val="202020"/>
                                  <w:sz w:val="24"/>
                                  <w:szCs w:val="24"/>
                                  <w:lang w:eastAsia="en-GB"/>
                                </w:rPr>
                                <w:t>Separate guidance has been issued outlining how </w:t>
                              </w:r>
                              <w:hyperlink r:id="rId16" w:tgtFrame="_blank" w:history="1">
                                <w:r w:rsidRPr="00C82217">
                                  <w:rPr>
                                    <w:rFonts w:ascii="Helvetica" w:eastAsia="Times New Roman" w:hAnsi="Helvetica" w:cs="Helvetica"/>
                                    <w:color w:val="007C89"/>
                                    <w:sz w:val="24"/>
                                    <w:szCs w:val="24"/>
                                    <w:u w:val="single"/>
                                    <w:lang w:eastAsia="en-GB"/>
                                  </w:rPr>
                                  <w:t>online market places</w:t>
                                </w:r>
                              </w:hyperlink>
                              <w:r w:rsidRPr="00C82217">
                                <w:rPr>
                                  <w:rFonts w:ascii="Helvetica" w:eastAsia="Times New Roman" w:hAnsi="Helvetica" w:cs="Helvetica"/>
                                  <w:color w:val="202020"/>
                                  <w:sz w:val="24"/>
                                  <w:szCs w:val="24"/>
                                  <w:lang w:eastAsia="en-GB"/>
                                </w:rPr>
                                <w:t> and those who sell </w:t>
                              </w:r>
                              <w:hyperlink r:id="rId17" w:tgtFrame="_blank" w:history="1">
                                <w:r w:rsidRPr="00C82217">
                                  <w:rPr>
                                    <w:rFonts w:ascii="Helvetica" w:eastAsia="Times New Roman" w:hAnsi="Helvetica" w:cs="Helvetica"/>
                                    <w:color w:val="007C89"/>
                                    <w:sz w:val="24"/>
                                    <w:szCs w:val="24"/>
                                    <w:u w:val="single"/>
                                    <w:lang w:eastAsia="en-GB"/>
                                  </w:rPr>
                                  <w:t>directly to customers</w:t>
                                </w:r>
                              </w:hyperlink>
                              <w:r w:rsidRPr="00C82217">
                                <w:rPr>
                                  <w:rFonts w:ascii="Helvetica" w:eastAsia="Times New Roman" w:hAnsi="Helvetica" w:cs="Helvetica"/>
                                  <w:color w:val="202020"/>
                                  <w:sz w:val="24"/>
                                  <w:szCs w:val="24"/>
                                  <w:lang w:eastAsia="en-GB"/>
                                </w:rPr>
                                <w:t> in Great Britain from 1 January 2021 will deal with VAT on goods from overseas.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t>The Information Commissioners Office has</w:t>
                              </w:r>
                              <w:hyperlink r:id="rId18" w:tgtFrame="_blank" w:history="1">
                                <w:r w:rsidRPr="00C82217">
                                  <w:rPr>
                                    <w:rFonts w:ascii="Helvetica" w:eastAsia="Times New Roman" w:hAnsi="Helvetica" w:cs="Helvetica"/>
                                    <w:color w:val="007C89"/>
                                    <w:sz w:val="24"/>
                                    <w:szCs w:val="24"/>
                                    <w:u w:val="single"/>
                                    <w:lang w:eastAsia="en-GB"/>
                                  </w:rPr>
                                  <w:t> published guidance regarding data protection</w:t>
                                </w:r>
                              </w:hyperlink>
                              <w:r w:rsidRPr="00C82217">
                                <w:rPr>
                                  <w:rFonts w:ascii="Helvetica" w:eastAsia="Times New Roman" w:hAnsi="Helvetica" w:cs="Helvetica"/>
                                  <w:color w:val="202020"/>
                                  <w:sz w:val="24"/>
                                  <w:szCs w:val="24"/>
                                  <w:lang w:eastAsia="en-GB"/>
                                </w:rPr>
                                <w:t> and the issue of data adequacy following the end of the transition period. They have also published a </w:t>
                              </w:r>
                              <w:hyperlink r:id="rId19" w:tgtFrame="_blank" w:history="1">
                                <w:r w:rsidRPr="00C82217">
                                  <w:rPr>
                                    <w:rFonts w:ascii="Helvetica" w:eastAsia="Times New Roman" w:hAnsi="Helvetica" w:cs="Helvetica"/>
                                    <w:color w:val="007C89"/>
                                    <w:sz w:val="24"/>
                                    <w:szCs w:val="24"/>
                                    <w:u w:val="single"/>
                                    <w:lang w:eastAsia="en-GB"/>
                                  </w:rPr>
                                  <w:t>guide to what to do about data protection for SMEs</w:t>
                                </w:r>
                              </w:hyperlink>
                              <w:r w:rsidRPr="00C82217">
                                <w:rPr>
                                  <w:rFonts w:ascii="Helvetica" w:eastAsia="Times New Roman" w:hAnsi="Helvetica" w:cs="Helvetica"/>
                                  <w:color w:val="202020"/>
                                  <w:sz w:val="24"/>
                                  <w:szCs w:val="24"/>
                                  <w:lang w:eastAsia="en-GB"/>
                                </w:rPr>
                                <w:t>.</w:t>
                              </w:r>
                              <w:r w:rsidRPr="00C82217">
                                <w:rPr>
                                  <w:rFonts w:ascii="Helvetica" w:eastAsia="Times New Roman" w:hAnsi="Helvetica" w:cs="Helvetica"/>
                                  <w:color w:val="202020"/>
                                  <w:sz w:val="24"/>
                                  <w:szCs w:val="24"/>
                                  <w:lang w:eastAsia="en-GB"/>
                                </w:rPr>
                                <w:br/>
                                <w:t> </w:t>
                              </w:r>
                            </w:p>
                            <w:p w:rsidR="00C82217" w:rsidRPr="00C82217" w:rsidRDefault="00C82217" w:rsidP="00C82217">
                              <w:pPr>
                                <w:spacing w:after="0" w:line="360" w:lineRule="atLeast"/>
                                <w:jc w:val="center"/>
                                <w:rPr>
                                  <w:rFonts w:ascii="Helvetica" w:eastAsia="Times New Roman" w:hAnsi="Helvetica" w:cs="Helvetica"/>
                                  <w:color w:val="202020"/>
                                  <w:sz w:val="24"/>
                                  <w:szCs w:val="24"/>
                                  <w:lang w:eastAsia="en-GB"/>
                                </w:rPr>
                              </w:pPr>
                              <w:r w:rsidRPr="00C82217">
                                <w:rPr>
                                  <w:rFonts w:ascii="Helvetica" w:eastAsia="Times New Roman" w:hAnsi="Helvetica" w:cs="Helvetica"/>
                                  <w:b/>
                                  <w:bCs/>
                                  <w:color w:val="202020"/>
                                  <w:sz w:val="24"/>
                                  <w:szCs w:val="24"/>
                                  <w:u w:val="single"/>
                                  <w:lang w:eastAsia="en-GB"/>
                                </w:rPr>
                                <w:t>Product Safety</w:t>
                              </w:r>
                            </w:p>
                            <w:p w:rsidR="00C82217" w:rsidRPr="00C82217" w:rsidRDefault="00C82217" w:rsidP="00C82217">
                              <w:pPr>
                                <w:spacing w:after="0" w:line="360" w:lineRule="atLeast"/>
                                <w:rPr>
                                  <w:rFonts w:ascii="Helvetica" w:eastAsia="Times New Roman" w:hAnsi="Helvetica" w:cs="Helvetica"/>
                                  <w:color w:val="202020"/>
                                  <w:sz w:val="24"/>
                                  <w:szCs w:val="24"/>
                                  <w:lang w:eastAsia="en-GB"/>
                                </w:rPr>
                              </w:pPr>
                              <w:r w:rsidRPr="00C82217">
                                <w:rPr>
                                  <w:rFonts w:ascii="Helvetica" w:eastAsia="Times New Roman" w:hAnsi="Helvetica" w:cs="Helvetica"/>
                                  <w:color w:val="202020"/>
                                  <w:sz w:val="24"/>
                                  <w:szCs w:val="24"/>
                                  <w:lang w:eastAsia="en-GB"/>
                                </w:rPr>
                                <w:br/>
                                <w:t>The </w:t>
                              </w:r>
                              <w:r w:rsidRPr="00C82217">
                                <w:rPr>
                                  <w:rFonts w:ascii="Helvetica" w:eastAsia="Times New Roman" w:hAnsi="Helvetica" w:cs="Helvetica"/>
                                  <w:b/>
                                  <w:bCs/>
                                  <w:color w:val="202020"/>
                                  <w:sz w:val="24"/>
                                  <w:szCs w:val="24"/>
                                  <w:lang w:eastAsia="en-GB"/>
                                </w:rPr>
                                <w:t>Office for Product Safety and Standards</w:t>
                              </w:r>
                              <w:r w:rsidRPr="00C82217">
                                <w:rPr>
                                  <w:rFonts w:ascii="Helvetica" w:eastAsia="Times New Roman" w:hAnsi="Helvetica" w:cs="Helvetica"/>
                                  <w:color w:val="202020"/>
                                  <w:sz w:val="24"/>
                                  <w:szCs w:val="24"/>
                                  <w:lang w:eastAsia="en-GB"/>
                                </w:rPr>
                                <w:t> has published guidance to help businesses comply with regulations as the Transition Period ends. Separate, complementary guidance </w:t>
                              </w:r>
                              <w:proofErr w:type="gramStart"/>
                              <w:r w:rsidRPr="00C82217">
                                <w:rPr>
                                  <w:rFonts w:ascii="Helvetica" w:eastAsia="Times New Roman" w:hAnsi="Helvetica" w:cs="Helvetica"/>
                                  <w:color w:val="202020"/>
                                  <w:sz w:val="24"/>
                                  <w:szCs w:val="24"/>
                                  <w:lang w:eastAsia="en-GB"/>
                                </w:rPr>
                                <w:t>will be published</w:t>
                              </w:r>
                              <w:proofErr w:type="gramEnd"/>
                              <w:r w:rsidRPr="00C82217">
                                <w:rPr>
                                  <w:rFonts w:ascii="Helvetica" w:eastAsia="Times New Roman" w:hAnsi="Helvetica" w:cs="Helvetica"/>
                                  <w:color w:val="202020"/>
                                  <w:sz w:val="24"/>
                                  <w:szCs w:val="24"/>
                                  <w:lang w:eastAsia="en-GB"/>
                                </w:rPr>
                                <w:t xml:space="preserve"> for businesses trading in Great Britain and Northern Ireland. The list of published guidance documents is available </w:t>
                              </w:r>
                              <w:hyperlink r:id="rId20"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UK Product safety and metrology from 1 January 2021: </w:t>
                              </w:r>
                              <w:r w:rsidRPr="00C82217">
                                <w:rPr>
                                  <w:rFonts w:ascii="Helvetica" w:eastAsia="Times New Roman" w:hAnsi="Helvetica" w:cs="Helvetica"/>
                                  <w:color w:val="202020"/>
                                  <w:sz w:val="24"/>
                                  <w:szCs w:val="24"/>
                                  <w:lang w:eastAsia="en-GB"/>
                                </w:rPr>
                                <w:t xml:space="preserve">Guidance </w:t>
                              </w:r>
                              <w:proofErr w:type="gramStart"/>
                              <w:r w:rsidRPr="00C82217">
                                <w:rPr>
                                  <w:rFonts w:ascii="Helvetica" w:eastAsia="Times New Roman" w:hAnsi="Helvetica" w:cs="Helvetica"/>
                                  <w:color w:val="202020"/>
                                  <w:sz w:val="24"/>
                                  <w:szCs w:val="24"/>
                                  <w:lang w:eastAsia="en-GB"/>
                                </w:rPr>
                                <w:t>has been published</w:t>
                              </w:r>
                              <w:proofErr w:type="gramEnd"/>
                              <w:r w:rsidRPr="00C82217">
                                <w:rPr>
                                  <w:rFonts w:ascii="Helvetica" w:eastAsia="Times New Roman" w:hAnsi="Helvetica" w:cs="Helvetica"/>
                                  <w:color w:val="202020"/>
                                  <w:sz w:val="24"/>
                                  <w:szCs w:val="24"/>
                                  <w:lang w:eastAsia="en-GB"/>
                                </w:rPr>
                                <w:t xml:space="preserve"> for businesses on specific product safety and metrology regulations. Click </w:t>
                              </w:r>
                              <w:hyperlink r:id="rId21"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to access the guidance. Specific guidance for placing goods on the market in Great Britain can be accessed </w:t>
                              </w:r>
                              <w:hyperlink r:id="rId22"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b/>
                                  <w:bCs/>
                                  <w:color w:val="202020"/>
                                  <w:sz w:val="24"/>
                                  <w:szCs w:val="24"/>
                                  <w:lang w:eastAsia="en-GB"/>
                                </w:rPr>
                                <w:t xml:space="preserve">(UPDATED SINCE </w:t>
                              </w:r>
                              <w:r w:rsidRPr="00C82217">
                                <w:rPr>
                                  <w:rFonts w:ascii="Helvetica" w:eastAsia="Times New Roman" w:hAnsi="Helvetica" w:cs="Helvetica"/>
                                  <w:b/>
                                  <w:bCs/>
                                  <w:color w:val="202020"/>
                                  <w:sz w:val="24"/>
                                  <w:szCs w:val="24"/>
                                  <w:lang w:eastAsia="en-GB"/>
                                </w:rPr>
                                <w:lastRenderedPageBreak/>
                                <w:t>23 DECEMBER!</w:t>
                              </w:r>
                              <w:proofErr w:type="gramStart"/>
                              <w:r w:rsidRPr="00C82217">
                                <w:rPr>
                                  <w:rFonts w:ascii="Helvetica" w:eastAsia="Times New Roman" w:hAnsi="Helvetica" w:cs="Helvetica"/>
                                  <w:b/>
                                  <w:bCs/>
                                  <w:color w:val="202020"/>
                                  <w:sz w:val="24"/>
                                  <w:szCs w:val="24"/>
                                  <w:lang w:eastAsia="en-GB"/>
                                </w:rPr>
                                <w:t>)</w:t>
                              </w:r>
                              <w:r w:rsidRPr="00C82217">
                                <w:rPr>
                                  <w:rFonts w:ascii="Helvetica" w:eastAsia="Times New Roman" w:hAnsi="Helvetica" w:cs="Helvetica"/>
                                  <w:color w:val="202020"/>
                                  <w:sz w:val="24"/>
                                  <w:szCs w:val="24"/>
                                  <w:lang w:eastAsia="en-GB"/>
                                </w:rPr>
                                <w:t> .</w:t>
                              </w:r>
                              <w:proofErr w:type="gramEnd"/>
                              <w:r w:rsidRPr="00C82217">
                                <w:rPr>
                                  <w:rFonts w:ascii="Helvetica" w:eastAsia="Times New Roman" w:hAnsi="Helvetica" w:cs="Helvetica"/>
                                  <w:color w:val="202020"/>
                                  <w:sz w:val="24"/>
                                  <w:szCs w:val="24"/>
                                  <w:lang w:eastAsia="en-GB"/>
                                </w:rPr>
                                <w:t xml:space="preserve"> Guidance for placing goods on the market in Northern Ireland </w:t>
                              </w:r>
                              <w:proofErr w:type="gramStart"/>
                              <w:r w:rsidRPr="00C82217">
                                <w:rPr>
                                  <w:rFonts w:ascii="Helvetica" w:eastAsia="Times New Roman" w:hAnsi="Helvetica" w:cs="Helvetica"/>
                                  <w:color w:val="202020"/>
                                  <w:sz w:val="24"/>
                                  <w:szCs w:val="24"/>
                                  <w:lang w:eastAsia="en-GB"/>
                                </w:rPr>
                                <w:t>can be accessed</w:t>
                              </w:r>
                              <w:proofErr w:type="gramEnd"/>
                              <w:r w:rsidRPr="00C82217">
                                <w:rPr>
                                  <w:rFonts w:ascii="Helvetica" w:eastAsia="Times New Roman" w:hAnsi="Helvetica" w:cs="Helvetica"/>
                                  <w:color w:val="202020"/>
                                  <w:sz w:val="24"/>
                                  <w:szCs w:val="24"/>
                                  <w:lang w:eastAsia="en-GB"/>
                                </w:rPr>
                                <w:t> </w:t>
                              </w:r>
                              <w:hyperlink r:id="rId23"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b/>
                                  <w:bCs/>
                                  <w:color w:val="202020"/>
                                  <w:sz w:val="24"/>
                                  <w:szCs w:val="24"/>
                                  <w:lang w:eastAsia="en-GB"/>
                                </w:rPr>
                                <w:t>(UPDATED SINCE 23 DECEMBER!).</w:t>
                              </w:r>
                              <w:r w:rsidRPr="00C82217">
                                <w:rPr>
                                  <w:rFonts w:ascii="Helvetica" w:eastAsia="Times New Roman" w:hAnsi="Helvetica" w:cs="Helvetica"/>
                                  <w:color w:val="202020"/>
                                  <w:sz w:val="24"/>
                                  <w:szCs w:val="24"/>
                                  <w:lang w:eastAsia="en-GB"/>
                                </w:rPr>
                                <w:t>  </w:t>
                              </w:r>
                            </w:p>
                            <w:p w:rsidR="00C82217" w:rsidRPr="00C82217" w:rsidRDefault="00C82217" w:rsidP="00C82217">
                              <w:pPr>
                                <w:spacing w:after="0" w:line="360" w:lineRule="atLeast"/>
                                <w:jc w:val="center"/>
                                <w:rPr>
                                  <w:rFonts w:ascii="Helvetica" w:eastAsia="Times New Roman" w:hAnsi="Helvetica" w:cs="Helvetica"/>
                                  <w:color w:val="202020"/>
                                  <w:sz w:val="24"/>
                                  <w:szCs w:val="24"/>
                                  <w:lang w:eastAsia="en-GB"/>
                                </w:rPr>
                              </w:pP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u w:val="single"/>
                                  <w:lang w:eastAsia="en-GB"/>
                                </w:rPr>
                                <w:t>Food and Drink</w:t>
                              </w:r>
                            </w:p>
                            <w:p w:rsidR="00C82217" w:rsidRPr="00C82217" w:rsidRDefault="00C82217" w:rsidP="00C82217">
                              <w:pPr>
                                <w:spacing w:after="0" w:line="360" w:lineRule="atLeast"/>
                                <w:rPr>
                                  <w:rFonts w:ascii="Helvetica" w:eastAsia="Times New Roman" w:hAnsi="Helvetica" w:cs="Helvetica"/>
                                  <w:color w:val="202020"/>
                                  <w:sz w:val="24"/>
                                  <w:szCs w:val="24"/>
                                  <w:lang w:eastAsia="en-GB"/>
                                </w:rPr>
                              </w:pP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Digital guide covering the key actions food and drink businesses may need to take</w:t>
                              </w:r>
                              <w:r w:rsidRPr="00C82217">
                                <w:rPr>
                                  <w:rFonts w:ascii="Helvetica" w:eastAsia="Times New Roman" w:hAnsi="Helvetica" w:cs="Helvetica"/>
                                  <w:color w:val="202020"/>
                                  <w:sz w:val="24"/>
                                  <w:szCs w:val="24"/>
                                  <w:lang w:eastAsia="en-GB"/>
                                </w:rPr>
                                <w:t xml:space="preserve">: A new digital guide </w:t>
                              </w:r>
                              <w:proofErr w:type="gramStart"/>
                              <w:r w:rsidRPr="00C82217">
                                <w:rPr>
                                  <w:rFonts w:ascii="Helvetica" w:eastAsia="Times New Roman" w:hAnsi="Helvetica" w:cs="Helvetica"/>
                                  <w:color w:val="202020"/>
                                  <w:sz w:val="24"/>
                                  <w:szCs w:val="24"/>
                                  <w:lang w:eastAsia="en-GB"/>
                                </w:rPr>
                                <w:t>has been issued</w:t>
                              </w:r>
                              <w:proofErr w:type="gramEnd"/>
                              <w:r w:rsidRPr="00C82217">
                                <w:rPr>
                                  <w:rFonts w:ascii="Helvetica" w:eastAsia="Times New Roman" w:hAnsi="Helvetica" w:cs="Helvetica"/>
                                  <w:color w:val="202020"/>
                                  <w:sz w:val="24"/>
                                  <w:szCs w:val="24"/>
                                  <w:lang w:eastAsia="en-GB"/>
                                </w:rPr>
                                <w:t xml:space="preserve"> that covers the key actions food and drink businesses may need to take after the end of the Transition Period. For more information, click </w:t>
                              </w:r>
                              <w:hyperlink r:id="rId24"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Nutrition legislation from 1 January 2021: </w:t>
                              </w:r>
                              <w:r w:rsidRPr="00C82217">
                                <w:rPr>
                                  <w:rFonts w:ascii="Helvetica" w:eastAsia="Times New Roman" w:hAnsi="Helvetica" w:cs="Helvetica"/>
                                  <w:color w:val="202020"/>
                                  <w:sz w:val="24"/>
                                  <w:szCs w:val="24"/>
                                  <w:lang w:eastAsia="en-GB"/>
                                </w:rPr>
                                <w:t xml:space="preserve">Guidance </w:t>
                              </w:r>
                              <w:proofErr w:type="gramStart"/>
                              <w:r w:rsidRPr="00C82217">
                                <w:rPr>
                                  <w:rFonts w:ascii="Helvetica" w:eastAsia="Times New Roman" w:hAnsi="Helvetica" w:cs="Helvetica"/>
                                  <w:color w:val="202020"/>
                                  <w:sz w:val="24"/>
                                  <w:szCs w:val="24"/>
                                  <w:lang w:eastAsia="en-GB"/>
                                </w:rPr>
                                <w:t>has been published</w:t>
                              </w:r>
                              <w:proofErr w:type="gramEnd"/>
                              <w:r w:rsidRPr="00C82217">
                                <w:rPr>
                                  <w:rFonts w:ascii="Helvetica" w:eastAsia="Times New Roman" w:hAnsi="Helvetica" w:cs="Helvetica"/>
                                  <w:color w:val="202020"/>
                                  <w:sz w:val="24"/>
                                  <w:szCs w:val="24"/>
                                  <w:lang w:eastAsia="en-GB"/>
                                </w:rPr>
                                <w:t> for businesses regarding practical changes that will be made to nutrition legislation in the UK from 1 January 2021. These changes include nutrition-related labelling, composition and standards. For more information, click </w:t>
                              </w:r>
                              <w:hyperlink r:id="rId25"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Amendments to food information rules and wine:</w:t>
                              </w:r>
                              <w:r w:rsidRPr="00C82217">
                                <w:rPr>
                                  <w:rFonts w:ascii="Helvetica" w:eastAsia="Times New Roman" w:hAnsi="Helvetica" w:cs="Helvetica"/>
                                  <w:color w:val="202020"/>
                                  <w:sz w:val="24"/>
                                  <w:szCs w:val="24"/>
                                  <w:lang w:eastAsia="en-GB"/>
                                </w:rPr>
                                <w:t> The Food and Drink (Amendment) (EU Exit) Regulations 2020 have been published, making minor amendments to retained EU legislation on food information rules and wine. For more information, click </w:t>
                              </w:r>
                              <w:hyperlink r:id="rId26"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color w:val="202020"/>
                                  <w:sz w:val="24"/>
                                  <w:szCs w:val="24"/>
                                  <w:lang w:eastAsia="en-GB"/>
                                </w:rPr>
                                <w:br/>
                                <w:t> </w:t>
                              </w:r>
                            </w:p>
                            <w:p w:rsidR="00C82217" w:rsidRPr="00C82217" w:rsidRDefault="00C82217" w:rsidP="00C82217">
                              <w:pPr>
                                <w:spacing w:after="0" w:line="360" w:lineRule="atLeast"/>
                                <w:jc w:val="center"/>
                                <w:rPr>
                                  <w:rFonts w:ascii="Helvetica" w:eastAsia="Times New Roman" w:hAnsi="Helvetica" w:cs="Helvetica"/>
                                  <w:color w:val="202020"/>
                                  <w:sz w:val="24"/>
                                  <w:szCs w:val="24"/>
                                  <w:lang w:eastAsia="en-GB"/>
                                </w:rPr>
                              </w:pPr>
                              <w:r w:rsidRPr="00C82217">
                                <w:rPr>
                                  <w:rFonts w:ascii="Helvetica" w:eastAsia="Times New Roman" w:hAnsi="Helvetica" w:cs="Helvetica"/>
                                  <w:b/>
                                  <w:bCs/>
                                  <w:color w:val="202020"/>
                                  <w:sz w:val="24"/>
                                  <w:szCs w:val="24"/>
                                  <w:u w:val="single"/>
                                  <w:lang w:eastAsia="en-GB"/>
                                </w:rPr>
                                <w:t>Importing and Exporting</w:t>
                              </w:r>
                            </w:p>
                            <w:p w:rsidR="00C82217" w:rsidRPr="00C82217" w:rsidRDefault="00C82217" w:rsidP="00C82217">
                              <w:pPr>
                                <w:spacing w:after="0" w:line="360" w:lineRule="atLeast"/>
                                <w:rPr>
                                  <w:rFonts w:ascii="Helvetica" w:eastAsia="Times New Roman" w:hAnsi="Helvetica" w:cs="Helvetica"/>
                                  <w:color w:val="202020"/>
                                  <w:sz w:val="24"/>
                                  <w:szCs w:val="24"/>
                                  <w:lang w:eastAsia="en-GB"/>
                                </w:rPr>
                              </w:pP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UPDATED SINCE 24 DECEMBER! Guidance for hauliers and commercial drivers: </w:t>
                              </w:r>
                              <w:r w:rsidRPr="00C82217">
                                <w:rPr>
                                  <w:rFonts w:ascii="Helvetica" w:eastAsia="Times New Roman" w:hAnsi="Helvetica" w:cs="Helvetica"/>
                                  <w:color w:val="202020"/>
                                  <w:sz w:val="24"/>
                                  <w:szCs w:val="24"/>
                                  <w:lang w:eastAsia="en-GB"/>
                                </w:rPr>
                                <w:t xml:space="preserve">The Haulier Handbook </w:t>
                              </w:r>
                              <w:proofErr w:type="gramStart"/>
                              <w:r w:rsidRPr="00C82217">
                                <w:rPr>
                                  <w:rFonts w:ascii="Helvetica" w:eastAsia="Times New Roman" w:hAnsi="Helvetica" w:cs="Helvetica"/>
                                  <w:color w:val="202020"/>
                                  <w:sz w:val="24"/>
                                  <w:szCs w:val="24"/>
                                  <w:lang w:eastAsia="en-GB"/>
                                </w:rPr>
                                <w:t>has been published</w:t>
                              </w:r>
                              <w:proofErr w:type="gramEnd"/>
                              <w:r w:rsidRPr="00C82217">
                                <w:rPr>
                                  <w:rFonts w:ascii="Helvetica" w:eastAsia="Times New Roman" w:hAnsi="Helvetica" w:cs="Helvetica"/>
                                  <w:color w:val="202020"/>
                                  <w:sz w:val="24"/>
                                  <w:szCs w:val="24"/>
                                  <w:lang w:eastAsia="en-GB"/>
                                </w:rPr>
                                <w:t xml:space="preserve"> as a one-stop-shop for key information on how to prepare vehicles and the goods they carry to continue to travel smoothly across the border and help minimise disruption. To access, click </w:t>
                              </w:r>
                              <w:hyperlink r:id="rId27"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Information on licence security from 1 January 2021:</w:t>
                              </w:r>
                              <w:r w:rsidRPr="00C82217">
                                <w:rPr>
                                  <w:rFonts w:ascii="Helvetica" w:eastAsia="Times New Roman" w:hAnsi="Helvetica" w:cs="Helvetica"/>
                                  <w:color w:val="202020"/>
                                  <w:sz w:val="24"/>
                                  <w:szCs w:val="24"/>
                                  <w:lang w:eastAsia="en-GB"/>
                                </w:rPr>
                                <w:t> Information </w:t>
                              </w:r>
                              <w:proofErr w:type="gramStart"/>
                              <w:r w:rsidRPr="00C82217">
                                <w:rPr>
                                  <w:rFonts w:ascii="Helvetica" w:eastAsia="Times New Roman" w:hAnsi="Helvetica" w:cs="Helvetica"/>
                                  <w:color w:val="202020"/>
                                  <w:sz w:val="24"/>
                                  <w:szCs w:val="24"/>
                                  <w:lang w:eastAsia="en-GB"/>
                                </w:rPr>
                                <w:t>has been published</w:t>
                              </w:r>
                              <w:proofErr w:type="gramEnd"/>
                              <w:r w:rsidRPr="00C82217">
                                <w:rPr>
                                  <w:rFonts w:ascii="Helvetica" w:eastAsia="Times New Roman" w:hAnsi="Helvetica" w:cs="Helvetica"/>
                                  <w:color w:val="202020"/>
                                  <w:sz w:val="24"/>
                                  <w:szCs w:val="24"/>
                                  <w:lang w:eastAsia="en-GB"/>
                                </w:rPr>
                                <w:t xml:space="preserve"> on import and export licence security from 1 January 2021. Licence security will need to </w:t>
                              </w:r>
                              <w:proofErr w:type="gramStart"/>
                              <w:r w:rsidRPr="00C82217">
                                <w:rPr>
                                  <w:rFonts w:ascii="Helvetica" w:eastAsia="Times New Roman" w:hAnsi="Helvetica" w:cs="Helvetica"/>
                                  <w:color w:val="202020"/>
                                  <w:sz w:val="24"/>
                                  <w:szCs w:val="24"/>
                                  <w:lang w:eastAsia="en-GB"/>
                                </w:rPr>
                                <w:t>be provided</w:t>
                              </w:r>
                              <w:proofErr w:type="gramEnd"/>
                              <w:r w:rsidRPr="00C82217">
                                <w:rPr>
                                  <w:rFonts w:ascii="Helvetica" w:eastAsia="Times New Roman" w:hAnsi="Helvetica" w:cs="Helvetica"/>
                                  <w:color w:val="202020"/>
                                  <w:sz w:val="24"/>
                                  <w:szCs w:val="24"/>
                                  <w:lang w:eastAsia="en-GB"/>
                                </w:rPr>
                                <w:t xml:space="preserve"> in pounds sterling. The notice tells you how license security will need to </w:t>
                              </w:r>
                              <w:proofErr w:type="gramStart"/>
                              <w:r w:rsidRPr="00C82217">
                                <w:rPr>
                                  <w:rFonts w:ascii="Helvetica" w:eastAsia="Times New Roman" w:hAnsi="Helvetica" w:cs="Helvetica"/>
                                  <w:color w:val="202020"/>
                                  <w:sz w:val="24"/>
                                  <w:szCs w:val="24"/>
                                  <w:lang w:eastAsia="en-GB"/>
                                </w:rPr>
                                <w:t>be provided</w:t>
                              </w:r>
                              <w:proofErr w:type="gramEnd"/>
                              <w:r w:rsidRPr="00C82217">
                                <w:rPr>
                                  <w:rFonts w:ascii="Helvetica" w:eastAsia="Times New Roman" w:hAnsi="Helvetica" w:cs="Helvetica"/>
                                  <w:color w:val="202020"/>
                                  <w:sz w:val="24"/>
                                  <w:szCs w:val="24"/>
                                  <w:lang w:eastAsia="en-GB"/>
                                </w:rPr>
                                <w:t xml:space="preserve"> from 1 January 2021. Click </w:t>
                              </w:r>
                              <w:hyperlink r:id="rId28"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for more information.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UPDATED SINCE 21 DECEMBER! Protection of trading interests (retained blocking regulation) from 1 January 2021: </w:t>
                              </w:r>
                              <w:r w:rsidRPr="00C82217">
                                <w:rPr>
                                  <w:rFonts w:ascii="Helvetica" w:eastAsia="Times New Roman" w:hAnsi="Helvetica" w:cs="Helvetica"/>
                                  <w:color w:val="202020"/>
                                  <w:sz w:val="24"/>
                                  <w:szCs w:val="24"/>
                                  <w:lang w:eastAsia="en-GB"/>
                                </w:rPr>
                                <w:t xml:space="preserve">Guidance </w:t>
                              </w:r>
                              <w:proofErr w:type="gramStart"/>
                              <w:r w:rsidRPr="00C82217">
                                <w:rPr>
                                  <w:rFonts w:ascii="Helvetica" w:eastAsia="Times New Roman" w:hAnsi="Helvetica" w:cs="Helvetica"/>
                                  <w:color w:val="202020"/>
                                  <w:sz w:val="24"/>
                                  <w:szCs w:val="24"/>
                                  <w:lang w:eastAsia="en-GB"/>
                                </w:rPr>
                                <w:t>has been issued</w:t>
                              </w:r>
                              <w:proofErr w:type="gramEnd"/>
                              <w:r w:rsidRPr="00C82217">
                                <w:rPr>
                                  <w:rFonts w:ascii="Helvetica" w:eastAsia="Times New Roman" w:hAnsi="Helvetica" w:cs="Helvetica"/>
                                  <w:color w:val="202020"/>
                                  <w:sz w:val="24"/>
                                  <w:szCs w:val="24"/>
                                  <w:lang w:eastAsia="en-GB"/>
                                </w:rPr>
                                <w:t xml:space="preserve"> that sets out how protection of trading interests (also known as the retained blocking </w:t>
                              </w:r>
                              <w:r w:rsidRPr="00C82217">
                                <w:rPr>
                                  <w:rFonts w:ascii="Helvetica" w:eastAsia="Times New Roman" w:hAnsi="Helvetica" w:cs="Helvetica"/>
                                  <w:color w:val="202020"/>
                                  <w:sz w:val="24"/>
                                  <w:szCs w:val="24"/>
                                  <w:lang w:eastAsia="en-GB"/>
                                </w:rPr>
                                <w:lastRenderedPageBreak/>
                                <w:t>regulation) will work in the UK from 1 January 2021. The Protection of Trading Interests Legislation protects UK persons trading with countries affected by the extraterritorial application of certain laws (currently US Sanctions against Iran and Cuba). For more information, click </w:t>
                              </w:r>
                              <w:hyperlink r:id="rId29"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Importing horses and ponies from 1 January 2021:</w:t>
                              </w:r>
                              <w:r w:rsidRPr="00C82217">
                                <w:rPr>
                                  <w:rFonts w:ascii="Helvetica" w:eastAsia="Times New Roman" w:hAnsi="Helvetica" w:cs="Helvetica"/>
                                  <w:color w:val="202020"/>
                                  <w:sz w:val="24"/>
                                  <w:szCs w:val="24"/>
                                  <w:lang w:eastAsia="en-GB"/>
                                </w:rPr>
                                <w:t> Guidance for the importing of horses and other equines, including ponies and donkeys from January 2021, </w:t>
                              </w:r>
                              <w:proofErr w:type="gramStart"/>
                              <w:r w:rsidRPr="00C82217">
                                <w:rPr>
                                  <w:rFonts w:ascii="Helvetica" w:eastAsia="Times New Roman" w:hAnsi="Helvetica" w:cs="Helvetica"/>
                                  <w:color w:val="202020"/>
                                  <w:sz w:val="24"/>
                                  <w:szCs w:val="24"/>
                                  <w:lang w:eastAsia="en-GB"/>
                                </w:rPr>
                                <w:t>has been published</w:t>
                              </w:r>
                              <w:proofErr w:type="gramEnd"/>
                              <w:r w:rsidRPr="00C82217">
                                <w:rPr>
                                  <w:rFonts w:ascii="Helvetica" w:eastAsia="Times New Roman" w:hAnsi="Helvetica" w:cs="Helvetica"/>
                                  <w:color w:val="202020"/>
                                  <w:sz w:val="24"/>
                                  <w:szCs w:val="24"/>
                                  <w:lang w:eastAsia="en-GB"/>
                                </w:rPr>
                                <w:t>. To access the guidance, click </w:t>
                              </w:r>
                              <w:hyperlink r:id="rId30"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color w:val="202020"/>
                                  <w:sz w:val="24"/>
                                  <w:szCs w:val="24"/>
                                  <w:lang w:eastAsia="en-GB"/>
                                </w:rPr>
                                <w:br/>
                              </w:r>
                              <w:r w:rsidRPr="00C82217">
                                <w:rPr>
                                  <w:rFonts w:ascii="Helvetica" w:eastAsia="Times New Roman" w:hAnsi="Helvetica" w:cs="Helvetica"/>
                                  <w:b/>
                                  <w:bCs/>
                                  <w:color w:val="202020"/>
                                  <w:sz w:val="24"/>
                                  <w:szCs w:val="24"/>
                                  <w:lang w:eastAsia="en-GB"/>
                                </w:rPr>
                                <w:t>EU Transition - Trader and Industry Forum: </w:t>
                              </w:r>
                              <w:r w:rsidRPr="00C82217">
                                <w:rPr>
                                  <w:rFonts w:ascii="Helvetica" w:eastAsia="Times New Roman" w:hAnsi="Helvetica" w:cs="Helvetica"/>
                                  <w:color w:val="202020"/>
                                  <w:sz w:val="24"/>
                                  <w:szCs w:val="24"/>
                                  <w:lang w:eastAsia="en-GB"/>
                                </w:rPr>
                                <w:t>To support businesses and industry to get ready for the end of the transition period, the EU Transition Trader and Industry Forum </w:t>
                              </w:r>
                              <w:proofErr w:type="gramStart"/>
                              <w:r w:rsidRPr="00C82217">
                                <w:rPr>
                                  <w:rFonts w:ascii="Helvetica" w:eastAsia="Times New Roman" w:hAnsi="Helvetica" w:cs="Helvetica"/>
                                  <w:color w:val="202020"/>
                                  <w:sz w:val="24"/>
                                  <w:szCs w:val="24"/>
                                  <w:lang w:eastAsia="en-GB"/>
                                </w:rPr>
                                <w:t>has been launched</w:t>
                              </w:r>
                              <w:proofErr w:type="gramEnd"/>
                              <w:r w:rsidRPr="00C82217">
                                <w:rPr>
                                  <w:rFonts w:ascii="Helvetica" w:eastAsia="Times New Roman" w:hAnsi="Helvetica" w:cs="Helvetica"/>
                                  <w:color w:val="202020"/>
                                  <w:sz w:val="24"/>
                                  <w:szCs w:val="24"/>
                                  <w:lang w:eastAsia="en-GB"/>
                                </w:rPr>
                                <w:t xml:space="preserve">. This is designed so that you can ask questions about preparations you need to make now for the new rules to EU </w:t>
                              </w:r>
                              <w:proofErr w:type="gramStart"/>
                              <w:r w:rsidRPr="00C82217">
                                <w:rPr>
                                  <w:rFonts w:ascii="Helvetica" w:eastAsia="Times New Roman" w:hAnsi="Helvetica" w:cs="Helvetica"/>
                                  <w:color w:val="202020"/>
                                  <w:sz w:val="24"/>
                                  <w:szCs w:val="24"/>
                                  <w:lang w:eastAsia="en-GB"/>
                                </w:rPr>
                                <w:t>trade which will apply</w:t>
                              </w:r>
                              <w:proofErr w:type="gramEnd"/>
                              <w:r w:rsidRPr="00C82217">
                                <w:rPr>
                                  <w:rFonts w:ascii="Helvetica" w:eastAsia="Times New Roman" w:hAnsi="Helvetica" w:cs="Helvetica"/>
                                  <w:color w:val="202020"/>
                                  <w:sz w:val="24"/>
                                  <w:szCs w:val="24"/>
                                  <w:lang w:eastAsia="en-GB"/>
                                </w:rPr>
                                <w:t xml:space="preserve"> from 1 January 2021. To access this, click </w:t>
                              </w:r>
                              <w:hyperlink r:id="rId31" w:tgtFrame="_blank" w:history="1">
                                <w:r w:rsidRPr="00C82217">
                                  <w:rPr>
                                    <w:rFonts w:ascii="Helvetica" w:eastAsia="Times New Roman" w:hAnsi="Helvetica" w:cs="Helvetica"/>
                                    <w:color w:val="007C89"/>
                                    <w:sz w:val="24"/>
                                    <w:szCs w:val="24"/>
                                    <w:u w:val="single"/>
                                    <w:lang w:eastAsia="en-GB"/>
                                  </w:rPr>
                                  <w:t>here</w:t>
                                </w:r>
                              </w:hyperlink>
                              <w:r w:rsidRPr="00C82217">
                                <w:rPr>
                                  <w:rFonts w:ascii="Helvetica" w:eastAsia="Times New Roman" w:hAnsi="Helvetica" w:cs="Helvetica"/>
                                  <w:color w:val="202020"/>
                                  <w:sz w:val="24"/>
                                  <w:szCs w:val="24"/>
                                  <w:lang w:eastAsia="en-GB"/>
                                </w:rPr>
                                <w:t>. </w:t>
                              </w:r>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rPr>
                      <w:rFonts w:ascii="Times New Roman" w:eastAsia="Times New Roman" w:hAnsi="Times New Roman" w:cs="Times New Roman"/>
                      <w:sz w:val="24"/>
                      <w:szCs w:val="24"/>
                      <w:lang w:eastAsia="en-GB"/>
                    </w:rPr>
                  </w:pPr>
                </w:p>
              </w:tc>
            </w:tr>
          </w:tbl>
          <w:p w:rsidR="00C82217" w:rsidRPr="00C82217" w:rsidRDefault="00C82217" w:rsidP="00C82217">
            <w:pPr>
              <w:spacing w:after="0" w:line="240" w:lineRule="auto"/>
              <w:jc w:val="center"/>
              <w:rPr>
                <w:rFonts w:ascii="Times New Roman" w:eastAsia="Times New Roman" w:hAnsi="Times New Roman" w:cs="Times New Roman"/>
                <w:color w:val="000000"/>
                <w:sz w:val="27"/>
                <w:szCs w:val="27"/>
                <w:lang w:eastAsia="en-GB"/>
              </w:rPr>
            </w:pPr>
          </w:p>
        </w:tc>
      </w:tr>
    </w:tbl>
    <w:p w:rsidR="00E25E5B" w:rsidRDefault="00C82217"/>
    <w:sectPr w:rsidR="00E2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17"/>
    <w:rsid w:val="000D7C15"/>
    <w:rsid w:val="009C232B"/>
    <w:rsid w:val="00C8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03B96-8E07-4652-A0B5-256CBE0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217"/>
    <w:rPr>
      <w:color w:val="0000FF"/>
      <w:u w:val="single"/>
    </w:rPr>
  </w:style>
  <w:style w:type="character" w:styleId="Strong">
    <w:name w:val="Strong"/>
    <w:basedOn w:val="DefaultParagraphFont"/>
    <w:uiPriority w:val="22"/>
    <w:qFormat/>
    <w:rsid w:val="00C82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a.org.uk/multimedia/brexit-webinar-summary-part-2" TargetMode="External"/><Relationship Id="rId18" Type="http://schemas.openxmlformats.org/officeDocument/2006/relationships/hyperlink" Target="https://ico.org.uk/for-organisations/data-protection-at-the-end-of-the-transition-period/data-protection-at-the-end-of-the-transition-period/" TargetMode="External"/><Relationship Id="rId26" Type="http://schemas.openxmlformats.org/officeDocument/2006/relationships/hyperlink" Target="https://lnks.gd/l/eyJhbGciOiJIUzI1NiJ9.eyJidWxsZXRpbl9saW5rX2lkIjoxMTgsInVyaSI6ImJwMjpjbGljayIsImJ1bGxldGluX2lkIjoiMjAyMDExMjMuMzA5NzY2NDEiLCJ1cmwiOiJodHRwczovL3d3dy5nb3YudWsvZXUtd2l0aGRyYXdhbC1hY3QtMjAxOC1zdGF0dXRvcnktaW5zdHJ1bWVudHMvdGhlLWZvb2QtYW5kLWRyaW5rLWFtZW5kbWVudC1ldS1leGl0LW5vLTQtcmVndWxhdGlvbnMtMjAyMCJ9.-fZwe-tyrGeARG20rXTJisGmaLm1LoJIlP2UGT5prBE/s/1199908675/br/90285813885-l" TargetMode="External"/><Relationship Id="rId3" Type="http://schemas.openxmlformats.org/officeDocument/2006/relationships/webSettings" Target="webSettings.xml"/><Relationship Id="rId21" Type="http://schemas.openxmlformats.org/officeDocument/2006/relationships/hyperlink" Target="https://lnks.gd/l/eyJhbGciOiJIUzI1NiJ9.eyJidWxsZXRpbl9saW5rX2lkIjoxMTMsInVyaSI6ImJwMjpjbGljayIsImJ1bGxldGluX2lkIjoiMjAyMDExMjMuMzA5NzY2NDEiLCJ1cmwiOiJodHRwczovL3d3dy5nb3YudWsvZ3VpZGFuY2UvdWstcHJvZHVjdC1zYWZldHktYW5kLW1ldHJvbG9neS1mcm9tLTEtamFudWFyeS0yMDIxIn0.JKfbtudU_RNsysroHnA3yoALitdKLn8Hfju0T7yuLyM/s/1199908675/br/90285813885-l" TargetMode="External"/><Relationship Id="rId7" Type="http://schemas.openxmlformats.org/officeDocument/2006/relationships/hyperlink" Target="https://www.gmccbrexithub.com/" TargetMode="External"/><Relationship Id="rId12" Type="http://schemas.openxmlformats.org/officeDocument/2006/relationships/hyperlink" Target="https://www.fca.org.uk/multimedia/brexit-webinar-summary-part-1" TargetMode="External"/><Relationship Id="rId17" Type="http://schemas.openxmlformats.org/officeDocument/2006/relationships/hyperlink" Target="https://lnks.gd/l/eyJhbGciOiJIUzI1NiJ9.eyJidWxsZXRpbl9saW5rX2lkIjoxMTEsInVyaSI6ImJwMjpjbGljayIsImJ1bGxldGluX2lkIjoiMjAyMDExMjMuMzA5NzY2NDEiLCJ1cmwiOiJodHRwczovL3d3dy5nb3YudWsvZ3VpZGFuY2UvdmF0LWFuZC1vdmVyc2Vhcy1nb29kcy1zb2xkLWRpcmVjdGx5LXRvLWN1c3RvbWVycy1pbi1ncmVhdC1icml0YWluLWZyb20tMS1qYW51YXJ5LTIwMjEifQ.0_CaY2EjjlV1qmAHnrzAzWihVchtV_XqxP5hGzkSwgA/s/1199908675/br/90285813885-l" TargetMode="External"/><Relationship Id="rId25" Type="http://schemas.openxmlformats.org/officeDocument/2006/relationships/hyperlink" Target="https://lnks.gd/l/eyJhbGciOiJIUzI1NiJ9.eyJidWxsZXRpbl9saW5rX2lkIjoxMTcsInVyaSI6ImJwMjpjbGljayIsImJ1bGxldGluX2lkIjoiMjAyMDExMjMuMzA5NzY2NDEiLCJ1cmwiOiJodHRwczovL3d3dy5nb3YudWsvZ292ZXJubWVudC9wdWJsaWNhdGlvbnMvbnV0cml0aW9uLXJlbGF0ZWQtbGFiZWxsaW5nLWNvbXBvc2l0aW9uLWFuZC1zdGFuZGFyZHMtZnJvbS0xLWphbnVhcnktMjAyMSJ9.QjRcKvOBmoA-KmwkimYgm5CGfmGn2-5t4frl_-bEDyI/s/1199908675/br/90285813885-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nks.gd/l/eyJhbGciOiJIUzI1NiJ9.eyJidWxsZXRpbl9saW5rX2lkIjoxMTAsInVyaSI6ImJwMjpjbGljayIsImJ1bGxldGluX2lkIjoiMjAyMDExMjMuMzA5NzY2NDEiLCJ1cmwiOiJodHRwczovL3d3dy5nb3YudWsvZ3VpZGFuY2UvdmF0LWFuZC1vdmVyc2Vhcy1nb29kcy1zb2xkLXRvLWN1c3RvbWVycy1pbi1ncmVhdC1icml0YWluLXVzaW5nLW9ubGluZS1tYXJrZXRwbGFjZXMtZnJvbS0xLWphbnVhcnktMjAyMSJ9.2WEFnvFJsE6ziosUPxJHWQ9uDV_Ii6MtTiXd3FaVYIo/s/1199908675/br/90285813885-l" TargetMode="External"/><Relationship Id="rId20" Type="http://schemas.openxmlformats.org/officeDocument/2006/relationships/hyperlink" Target="https://lnks.gd/l/eyJhbGciOiJIUzI1NiJ9.eyJidWxsZXRpbl9saW5rX2lkIjoxMTIsInVyaSI6ImJwMjpjbGljayIsImJ1bGxldGluX2lkIjoiMjAyMDExMjMuMzA5NzY2NDEiLCJ1cmwiOiJodHRwczovL3d3dy5nb3YudWsvZ292ZXJubWVudC9uZXdzL25ldy1hbmQtdXBkYXRlZC1ndWlkYW5jZS1mb3ItYnVzaW5lc3Nlcy1yZWdhcmRpbmctdGhlLWVuZC1vZi10aGUtZXUtdHJhbnNpdGlvbi1wZXJpb2QifQ.X6Nc2iVdSEz3_gysofRPv1Ro5Isp8ryF_J9TnhUPKUw/s/1199908675/br/90285813885-l" TargetMode="External"/><Relationship Id="rId29" Type="http://schemas.openxmlformats.org/officeDocument/2006/relationships/hyperlink" Target="https://lnks.gd/l/eyJhbGciOiJIUzI1NiJ9.eyJidWxsZXRpbl9saW5rX2lkIjoxMjEsInVyaSI6ImJwMjpjbGljayIsImJ1bGxldGluX2lkIjoiMjAyMDExMjMuMzA5NzY2NDEiLCJ1cmwiOiJodHRwczovL3d3dy5nb3YudWsvZ3VpZGFuY2UvcHJvdGVjdGlvbi1vZi10cmFkaW5nLWludGVyZXN0cy1yZXRhaW5lZC1ibG9ja2luZy1yZWd1bGF0aW9ucy1mcm9tLTEtamFudWFyeS0yMDIxIn0.OT1EBC94Orp36JSQRNCah6rqdZhyH3ZD9wsKwgPBMcA/s/1199908675/br/90285813885-l" TargetMode="External"/><Relationship Id="rId1" Type="http://schemas.openxmlformats.org/officeDocument/2006/relationships/styles" Target="styles.xml"/><Relationship Id="rId6" Type="http://schemas.openxmlformats.org/officeDocument/2006/relationships/hyperlink" Target="https://www.businessgrowthhub.com/eu-exit" TargetMode="External"/><Relationship Id="rId11" Type="http://schemas.openxmlformats.org/officeDocument/2006/relationships/hyperlink" Target="https://www.youtube.com/c/DepartmentforInternationalTrade/videos" TargetMode="External"/><Relationship Id="rId24" Type="http://schemas.openxmlformats.org/officeDocument/2006/relationships/hyperlink" Target="https://lnks.gd/l/eyJhbGciOiJIUzI1NiJ9.eyJidWxsZXRpbl9saW5rX2lkIjoxMTYsInVyaSI6ImJwMjpjbGljayIsImJ1bGxldGluX2lkIjoiMjAyMDExMjMuMzA5NzY2NDEiLCJ1cmwiOiJodHRwczovL3Nob3djYXNlLmRyb3Bib3guY29tL3MvUHJlcGFyaW5nLXRoZS1mb29kLWFuZC1kcmluay1zZWN0b3ItZm9yLUphbnVhcnktMjAyMS1ETTl6SlBaRTBFeHpaYm5rWHJIaFcifQ.sRI-Hp0npIK03M4TcHsp1IbseOIbfF3JTw_eyrMdwQU/s/1199908675/br/90285813885-l" TargetMode="Externa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4.jpeg"/><Relationship Id="rId23" Type="http://schemas.openxmlformats.org/officeDocument/2006/relationships/hyperlink" Target="https://lnks.gd/l/eyJhbGciOiJIUzI1NiJ9.eyJidWxsZXRpbl9saW5rX2lkIjoxMTUsInVyaSI6ImJwMjpjbGljayIsImJ1bGxldGluX2lkIjoiMjAyMDExMjMuMzA5NzY2NDEiLCJ1cmwiOiJodHRwczovL3d3dy5nb3YudWsvZ3VpZGFuY2UvcHJvZHVjdC1zYWZldHktYW5kLW1ldHJvbG9neS1mcm9tLTEtamFudWFyeS0yMDIxLW5vcnRoZXJuLWlyZWxhbmQifQ.LisxuUFzgBHIx8l1eDTDPmpQ8jMZXrOafqClBhl_4LI/s/1199908675/br/90285813885-l" TargetMode="External"/><Relationship Id="rId28" Type="http://schemas.openxmlformats.org/officeDocument/2006/relationships/hyperlink" Target="https://lnks.gd/l/eyJhbGciOiJIUzI1NiJ9.eyJidWxsZXRpbl9saW5rX2lkIjoxMjAsInVyaSI6ImJwMjpjbGljayIsImJ1bGxldGluX2lkIjoiMjAyMDExMjMuMzA5NzY2NDEiLCJ1cmwiOiJodHRwczovL3d3dy5nb3YudWsvZ292ZXJubWVudC9wdWJsaWNhdGlvbnMvbm90aWNlLTMyMjAtaW5mb3JtYXRpb24tb24tbGljZW5jZS1zZWN1cml0eS1mcm9tLTEtamFudWFyeS0yMDIxIn0.zc4kBaw9tiG7hEVP1gjCVuXg-X5emARRV29VPwgQfJA/s/1199908675/br/90285813885-l" TargetMode="External"/><Relationship Id="rId10" Type="http://schemas.openxmlformats.org/officeDocument/2006/relationships/hyperlink" Target="https://www.workcast.com/ControlUsher.aspx?cpak=2905552366482043&amp;pak=2807339524439725" TargetMode="External"/><Relationship Id="rId19" Type="http://schemas.openxmlformats.org/officeDocument/2006/relationships/hyperlink" Target="https://ico.org.uk/for-organisations/data-protection-at-the-end-of-the-transition-period/data-protection-at-the-end-of-the-transition-period-for-small-businesses/" TargetMode="External"/><Relationship Id="rId31" Type="http://schemas.openxmlformats.org/officeDocument/2006/relationships/hyperlink" Target="https://lnks.gd/l/eyJhbGciOiJIUzI1NiJ9.eyJidWxsZXRpbl9saW5rX2lkIjoxMjMsInVyaSI6ImJwMjpjbGljayIsImJ1bGxldGluX2lkIjoiMjAyMDExMjMuMzA5NzY2NDEiLCJ1cmwiOiJodHRwczovL3RyYW5zaXRpb24tZm9ydW0uc2VydmljZS5jYWJpbmV0b2ZmaWNlLmdvdi51ay8ifQ.kJC-T6RUcgLkf0FmN2Cer1BbEOtmx0EcegA1JpoGeUw/s/1199908675/br/90285813885-l" TargetMode="External"/><Relationship Id="rId4" Type="http://schemas.openxmlformats.org/officeDocument/2006/relationships/image" Target="media/image1.png"/><Relationship Id="rId9" Type="http://schemas.openxmlformats.org/officeDocument/2006/relationships/hyperlink" Target="https://www.eventbrite.co.uk/e/brexit-update-webinar-7th-january-2021-tickets-132051358167?utm_campaign=post_publish&amp;utm_medium=email&amp;utm_source=eventbrite&amp;utm_content=shortLinkNewEmail" TargetMode="External"/><Relationship Id="rId14" Type="http://schemas.openxmlformats.org/officeDocument/2006/relationships/hyperlink" Target="https://www.fca.org.uk/multimedia/brexit-webinar-summary-part-3" TargetMode="External"/><Relationship Id="rId22" Type="http://schemas.openxmlformats.org/officeDocument/2006/relationships/hyperlink" Target="https://lnks.gd/l/eyJhbGciOiJIUzI1NiJ9.eyJidWxsZXRpbl9saW5rX2lkIjoxMTQsInVyaSI6ImJwMjpjbGljayIsImJ1bGxldGluX2lkIjoiMjAyMDExMjMuMzA5NzY2NDEiLCJ1cmwiOiJodHRwczovL3d3dy5nb3YudWsvZ3VpZGFuY2UvcHJvZHVjdC1zYWZldHktYW5kLW1ldHJvbG9neS1mcm9tLTEtamFudWFyeS0yMDIxLWdyZWF0LWJyaXRhaW4ifQ.q6rYqGut6lmcZtnhCwqbXTcCszyFmbyKI4YIAOWQ2fU/s/1199908675/br/90285813885-l" TargetMode="External"/><Relationship Id="rId27" Type="http://schemas.openxmlformats.org/officeDocument/2006/relationships/hyperlink" Target="https://lnks.gd/l/eyJhbGciOiJIUzI1NiJ9.eyJidWxsZXRpbl9saW5rX2lkIjoxMTksInVyaSI6ImJwMjpjbGljayIsImJ1bGxldGluX2lkIjoiMjAyMDExMjMuMzA5NzY2NDEiLCJ1cmwiOiJodHRwczovL3d3dy5nb3YudWsvZ3VpZGFuY2UvdHJhbnNwb3J0aW5nLWdvb2RzLWJldHdlZW4tZ3JlYXQtYnJpdGFpbi1hbmQtdGhlLWV1LWZyb20tMS1qYW51YXJ5LTIwMjEtZ3VpZGFuY2UtZm9yLWhhdWxpZXJzIn0.nEyiql-N3LHymJbg0G0arM8_xJbYW-H7QgxwrUlEY8I/s/1199908675/br/90285813885-l" TargetMode="External"/><Relationship Id="rId30" Type="http://schemas.openxmlformats.org/officeDocument/2006/relationships/hyperlink" Target="https://lnks.gd/l/eyJhbGciOiJIUzI1NiJ9.eyJidWxsZXRpbl9saW5rX2lkIjoxMjIsInVyaSI6ImJwMjpjbGljayIsImJ1bGxldGluX2lkIjoiMjAyMDExMjMuMzA5NzY2NDEiLCJ1cmwiOiJodHRwczovL3d3dy5nb3YudWsvZ3VpZGFuY2UvaW1wb3J0LWhvcnNlcy1hbmQtcG9uaWVzLWZyb20tMS1qYW51YXJ5LTIwMjEifQ.r3LRIIoZ3N_O-DIxi9lHZnPghv9jEf9GbKCMOYfp3IM/s/1199908675/br/90285813885-l"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10108</Characters>
  <Application>Microsoft Office Word</Application>
  <DocSecurity>0</DocSecurity>
  <Lines>84</Lines>
  <Paragraphs>23</Paragraphs>
  <ScaleCrop>false</ScaleCrop>
  <Company>TMBC</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dc:description/>
  <cp:lastModifiedBy>Thomas Evans</cp:lastModifiedBy>
  <cp:revision>1</cp:revision>
  <dcterms:created xsi:type="dcterms:W3CDTF">2021-01-22T14:03:00Z</dcterms:created>
  <dcterms:modified xsi:type="dcterms:W3CDTF">2021-01-22T14:04:00Z</dcterms:modified>
</cp:coreProperties>
</file>